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C35" w:rsidRPr="00BD5C35" w:rsidRDefault="003D54AA" w:rsidP="00F373B9">
      <w:pPr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Об итогах работы</w:t>
      </w:r>
      <w:r w:rsidR="00181682" w:rsidRPr="00D538AC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 xml:space="preserve">за 2012 год </w:t>
      </w:r>
      <w:r w:rsidR="00181682" w:rsidRPr="00D538AC">
        <w:rPr>
          <w:rFonts w:ascii="Times New Roman" w:hAnsi="Times New Roman"/>
          <w:b/>
          <w:sz w:val="32"/>
          <w:szCs w:val="32"/>
        </w:rPr>
        <w:t>Управления по муниципальному заказу города Волгодонска</w:t>
      </w:r>
    </w:p>
    <w:p w:rsidR="00250ABE" w:rsidRPr="0074084A" w:rsidRDefault="00250ABE" w:rsidP="00F373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986F4E">
        <w:rPr>
          <w:rFonts w:ascii="Times New Roman" w:hAnsi="Times New Roman"/>
          <w:sz w:val="28"/>
          <w:szCs w:val="28"/>
        </w:rPr>
        <w:t>оклад о результатах и основных направления</w:t>
      </w:r>
      <w:r w:rsidR="001C5D32">
        <w:rPr>
          <w:rFonts w:ascii="Times New Roman" w:hAnsi="Times New Roman"/>
          <w:sz w:val="28"/>
          <w:szCs w:val="28"/>
        </w:rPr>
        <w:t>х</w:t>
      </w:r>
      <w:r w:rsidRPr="00986F4E">
        <w:rPr>
          <w:rFonts w:ascii="Times New Roman" w:hAnsi="Times New Roman"/>
          <w:sz w:val="28"/>
          <w:szCs w:val="28"/>
        </w:rPr>
        <w:t xml:space="preserve"> деятельности Управления по муниципальному заказу </w:t>
      </w:r>
      <w:r>
        <w:rPr>
          <w:rFonts w:ascii="Times New Roman" w:hAnsi="Times New Roman"/>
          <w:sz w:val="28"/>
          <w:szCs w:val="28"/>
        </w:rPr>
        <w:t xml:space="preserve">города </w:t>
      </w:r>
      <w:r w:rsidR="00C30A58">
        <w:rPr>
          <w:rFonts w:ascii="Times New Roman" w:hAnsi="Times New Roman"/>
          <w:sz w:val="28"/>
          <w:szCs w:val="28"/>
        </w:rPr>
        <w:t>Волгодонска</w:t>
      </w:r>
      <w:r>
        <w:rPr>
          <w:rFonts w:ascii="Times New Roman" w:hAnsi="Times New Roman"/>
          <w:sz w:val="28"/>
          <w:szCs w:val="28"/>
        </w:rPr>
        <w:t xml:space="preserve"> на 201</w:t>
      </w:r>
      <w:r w:rsidR="00B5499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-20</w:t>
      </w:r>
      <w:r w:rsidR="00C30A58">
        <w:rPr>
          <w:rFonts w:ascii="Times New Roman" w:hAnsi="Times New Roman"/>
          <w:sz w:val="28"/>
          <w:szCs w:val="28"/>
        </w:rPr>
        <w:t>1</w:t>
      </w:r>
      <w:r w:rsidR="00B5499D">
        <w:rPr>
          <w:rFonts w:ascii="Times New Roman" w:hAnsi="Times New Roman"/>
          <w:sz w:val="28"/>
          <w:szCs w:val="28"/>
        </w:rPr>
        <w:t>3</w:t>
      </w:r>
      <w:r w:rsidR="00B42E8E">
        <w:rPr>
          <w:rFonts w:ascii="Times New Roman" w:hAnsi="Times New Roman"/>
          <w:sz w:val="28"/>
          <w:szCs w:val="28"/>
        </w:rPr>
        <w:t> </w:t>
      </w:r>
      <w:r w:rsidRPr="00986F4E">
        <w:rPr>
          <w:rFonts w:ascii="Times New Roman" w:hAnsi="Times New Roman"/>
          <w:sz w:val="28"/>
          <w:szCs w:val="28"/>
        </w:rPr>
        <w:t xml:space="preserve">годы (далее – Доклад) подготовлен в соответствии с Постановлением Администрации города </w:t>
      </w:r>
      <w:r w:rsidR="00C30A58">
        <w:rPr>
          <w:rFonts w:ascii="Times New Roman" w:hAnsi="Times New Roman"/>
          <w:sz w:val="28"/>
          <w:szCs w:val="28"/>
        </w:rPr>
        <w:t>Волгодонска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1C5D32">
        <w:rPr>
          <w:rFonts w:ascii="Times New Roman" w:hAnsi="Times New Roman"/>
          <w:sz w:val="28"/>
          <w:szCs w:val="28"/>
        </w:rPr>
        <w:t>26.04</w:t>
      </w:r>
      <w:r>
        <w:rPr>
          <w:rFonts w:ascii="Times New Roman" w:hAnsi="Times New Roman"/>
          <w:sz w:val="28"/>
          <w:szCs w:val="28"/>
        </w:rPr>
        <w:t>.2012 №</w:t>
      </w:r>
      <w:r w:rsidR="00B42E8E">
        <w:rPr>
          <w:rFonts w:ascii="Times New Roman" w:hAnsi="Times New Roman"/>
          <w:sz w:val="28"/>
          <w:szCs w:val="28"/>
        </w:rPr>
        <w:t> </w:t>
      </w:r>
      <w:r w:rsidR="001C5D32">
        <w:rPr>
          <w:rFonts w:ascii="Times New Roman" w:hAnsi="Times New Roman"/>
          <w:sz w:val="28"/>
          <w:szCs w:val="28"/>
        </w:rPr>
        <w:t>1119</w:t>
      </w:r>
      <w:r w:rsidRPr="00986F4E">
        <w:rPr>
          <w:rFonts w:ascii="Times New Roman" w:hAnsi="Times New Roman"/>
          <w:sz w:val="28"/>
          <w:szCs w:val="28"/>
        </w:rPr>
        <w:t xml:space="preserve"> «О совершенствовании порядка подготовки и представления докладов о результатах и основных направлениях деятельности главных распорядителей средств местного бюджета»</w:t>
      </w:r>
      <w:r>
        <w:rPr>
          <w:rFonts w:ascii="Times New Roman" w:hAnsi="Times New Roman"/>
          <w:sz w:val="28"/>
          <w:szCs w:val="28"/>
        </w:rPr>
        <w:t>.</w:t>
      </w:r>
    </w:p>
    <w:p w:rsidR="00B42E8E" w:rsidRPr="00F373B9" w:rsidRDefault="00250ABE" w:rsidP="00F373B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986F4E">
        <w:rPr>
          <w:rFonts w:ascii="Times New Roman" w:hAnsi="Times New Roman"/>
          <w:sz w:val="28"/>
          <w:szCs w:val="28"/>
        </w:rPr>
        <w:t xml:space="preserve">Управление по муниципальному заказу города </w:t>
      </w:r>
      <w:r w:rsidR="00022CD6">
        <w:rPr>
          <w:rFonts w:ascii="Times New Roman" w:hAnsi="Times New Roman"/>
          <w:sz w:val="28"/>
          <w:szCs w:val="28"/>
        </w:rPr>
        <w:t>Волгодонска</w:t>
      </w:r>
      <w:r w:rsidRPr="00881351">
        <w:rPr>
          <w:rFonts w:ascii="Times New Roman" w:hAnsi="Times New Roman"/>
          <w:sz w:val="28"/>
          <w:szCs w:val="28"/>
        </w:rPr>
        <w:t xml:space="preserve"> является отраслевым (функциональным) органом Администрации города </w:t>
      </w:r>
      <w:r w:rsidR="00022CD6">
        <w:rPr>
          <w:rFonts w:ascii="Times New Roman" w:hAnsi="Times New Roman"/>
          <w:sz w:val="28"/>
          <w:szCs w:val="28"/>
        </w:rPr>
        <w:t>Волгодонска</w:t>
      </w:r>
      <w:r w:rsidRPr="00881351">
        <w:rPr>
          <w:rFonts w:ascii="Times New Roman" w:hAnsi="Times New Roman"/>
          <w:sz w:val="28"/>
          <w:szCs w:val="28"/>
        </w:rPr>
        <w:t xml:space="preserve">, в соответствии с </w:t>
      </w:r>
      <w:r w:rsidRPr="00F373B9">
        <w:rPr>
          <w:rFonts w:ascii="Times New Roman" w:hAnsi="Times New Roman"/>
          <w:sz w:val="28"/>
          <w:szCs w:val="28"/>
        </w:rPr>
        <w:t xml:space="preserve">Положением, утвержденным Решением </w:t>
      </w:r>
      <w:r w:rsidR="00022CD6" w:rsidRPr="00F373B9">
        <w:rPr>
          <w:rFonts w:ascii="Times New Roman" w:hAnsi="Times New Roman"/>
          <w:sz w:val="28"/>
          <w:szCs w:val="28"/>
        </w:rPr>
        <w:t>Волгодонской г</w:t>
      </w:r>
      <w:r w:rsidRPr="00F373B9">
        <w:rPr>
          <w:rFonts w:ascii="Times New Roman" w:hAnsi="Times New Roman"/>
          <w:sz w:val="28"/>
          <w:szCs w:val="28"/>
        </w:rPr>
        <w:t xml:space="preserve">ородской Думы </w:t>
      </w:r>
      <w:r w:rsidR="00022CD6" w:rsidRPr="00F373B9">
        <w:rPr>
          <w:rFonts w:ascii="Times New Roman" w:hAnsi="Times New Roman"/>
          <w:sz w:val="28"/>
          <w:szCs w:val="28"/>
        </w:rPr>
        <w:t>от 21.12.2005 №</w:t>
      </w:r>
      <w:r w:rsidR="00B42E8E" w:rsidRPr="00F373B9">
        <w:rPr>
          <w:rFonts w:ascii="Times New Roman" w:hAnsi="Times New Roman"/>
          <w:sz w:val="28"/>
          <w:szCs w:val="28"/>
        </w:rPr>
        <w:t> </w:t>
      </w:r>
      <w:r w:rsidR="00022CD6" w:rsidRPr="00F373B9">
        <w:rPr>
          <w:rFonts w:ascii="Times New Roman" w:hAnsi="Times New Roman"/>
          <w:sz w:val="28"/>
          <w:szCs w:val="28"/>
        </w:rPr>
        <w:t>196 «Об образовании Управления по муниципальному заказу города Волгодонска»</w:t>
      </w:r>
      <w:r w:rsidRPr="00F373B9">
        <w:rPr>
          <w:rFonts w:ascii="Times New Roman" w:hAnsi="Times New Roman"/>
          <w:sz w:val="28"/>
          <w:szCs w:val="28"/>
        </w:rPr>
        <w:t>, осуществляет функции по размещению заказов для муниципальных заказчиков на поставки товаров, выполнение работ, оказание услуг для муниципальных нужд за счет средств бюджета городского округа муниципального образования «Город</w:t>
      </w:r>
      <w:proofErr w:type="gramEnd"/>
      <w:r w:rsidRPr="00F373B9">
        <w:rPr>
          <w:rFonts w:ascii="Times New Roman" w:hAnsi="Times New Roman"/>
          <w:sz w:val="28"/>
          <w:szCs w:val="28"/>
        </w:rPr>
        <w:t xml:space="preserve"> </w:t>
      </w:r>
      <w:r w:rsidR="00022CD6" w:rsidRPr="00F373B9">
        <w:rPr>
          <w:rFonts w:ascii="Times New Roman" w:hAnsi="Times New Roman"/>
          <w:sz w:val="28"/>
          <w:szCs w:val="28"/>
        </w:rPr>
        <w:t>Волгодонск</w:t>
      </w:r>
      <w:r w:rsidRPr="00F373B9">
        <w:rPr>
          <w:rFonts w:ascii="Times New Roman" w:hAnsi="Times New Roman"/>
          <w:sz w:val="28"/>
          <w:szCs w:val="28"/>
        </w:rPr>
        <w:t>» в соответствии с действующим законодательством.</w:t>
      </w:r>
    </w:p>
    <w:p w:rsidR="00B4016A" w:rsidRPr="00F373B9" w:rsidRDefault="00B4016A" w:rsidP="00F373B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373B9">
        <w:rPr>
          <w:rFonts w:ascii="Times New Roman" w:hAnsi="Times New Roman"/>
          <w:i/>
          <w:sz w:val="28"/>
          <w:szCs w:val="28"/>
        </w:rPr>
        <w:t>Информация по планированию проведения торгов.</w:t>
      </w:r>
      <w:r w:rsidRPr="00F373B9">
        <w:rPr>
          <w:rFonts w:ascii="Times New Roman" w:hAnsi="Times New Roman"/>
          <w:sz w:val="28"/>
          <w:szCs w:val="28"/>
        </w:rPr>
        <w:t xml:space="preserve"> </w:t>
      </w:r>
    </w:p>
    <w:p w:rsidR="002924A7" w:rsidRDefault="00164FDA" w:rsidP="00F373B9">
      <w:pPr>
        <w:pStyle w:val="ConsPlusTitle"/>
        <w:widowControl/>
        <w:ind w:firstLine="708"/>
        <w:jc w:val="both"/>
        <w:rPr>
          <w:b w:val="0"/>
          <w:sz w:val="28"/>
          <w:szCs w:val="28"/>
        </w:rPr>
      </w:pPr>
      <w:r w:rsidRPr="00F373B9">
        <w:rPr>
          <w:b w:val="0"/>
          <w:sz w:val="28"/>
          <w:szCs w:val="28"/>
        </w:rPr>
        <w:t>Количество аукционов, планируемых к размещению, в 2011</w:t>
      </w:r>
      <w:r w:rsidR="00B42E8E" w:rsidRPr="00F373B9">
        <w:rPr>
          <w:b w:val="0"/>
          <w:sz w:val="28"/>
          <w:szCs w:val="28"/>
        </w:rPr>
        <w:t> </w:t>
      </w:r>
      <w:r w:rsidRPr="00F373B9">
        <w:rPr>
          <w:b w:val="0"/>
          <w:sz w:val="28"/>
          <w:szCs w:val="28"/>
        </w:rPr>
        <w:t>году со 103</w:t>
      </w:r>
      <w:r w:rsidR="00B42E8E" w:rsidRPr="00F373B9">
        <w:rPr>
          <w:b w:val="0"/>
          <w:sz w:val="28"/>
          <w:szCs w:val="28"/>
        </w:rPr>
        <w:t> </w:t>
      </w:r>
      <w:r w:rsidRPr="00F373B9">
        <w:rPr>
          <w:b w:val="0"/>
          <w:sz w:val="28"/>
          <w:szCs w:val="28"/>
        </w:rPr>
        <w:t>процедур увеличилось до 311</w:t>
      </w:r>
      <w:r w:rsidR="00B42E8E" w:rsidRPr="00F373B9">
        <w:rPr>
          <w:b w:val="0"/>
          <w:sz w:val="28"/>
          <w:szCs w:val="28"/>
        </w:rPr>
        <w:t> </w:t>
      </w:r>
      <w:r w:rsidR="003D54AA" w:rsidRPr="00F373B9">
        <w:rPr>
          <w:b w:val="0"/>
          <w:sz w:val="28"/>
          <w:szCs w:val="28"/>
        </w:rPr>
        <w:t>процедур</w:t>
      </w:r>
      <w:r w:rsidRPr="00F373B9">
        <w:rPr>
          <w:b w:val="0"/>
          <w:sz w:val="28"/>
          <w:szCs w:val="28"/>
        </w:rPr>
        <w:t>, в 2012</w:t>
      </w:r>
      <w:r w:rsidR="00B42E8E" w:rsidRPr="00F373B9">
        <w:rPr>
          <w:b w:val="0"/>
          <w:sz w:val="28"/>
          <w:szCs w:val="28"/>
        </w:rPr>
        <w:t> </w:t>
      </w:r>
      <w:r w:rsidRPr="00F373B9">
        <w:rPr>
          <w:b w:val="0"/>
          <w:sz w:val="28"/>
          <w:szCs w:val="28"/>
        </w:rPr>
        <w:t>г</w:t>
      </w:r>
      <w:r w:rsidR="00B42E8E" w:rsidRPr="00F373B9">
        <w:rPr>
          <w:b w:val="0"/>
          <w:sz w:val="28"/>
          <w:szCs w:val="28"/>
        </w:rPr>
        <w:t>.</w:t>
      </w:r>
      <w:r w:rsidRPr="00F373B9">
        <w:rPr>
          <w:b w:val="0"/>
          <w:sz w:val="28"/>
          <w:szCs w:val="28"/>
        </w:rPr>
        <w:t xml:space="preserve"> – вместо запланированных 283</w:t>
      </w:r>
      <w:r w:rsidR="006130BD">
        <w:rPr>
          <w:b w:val="0"/>
          <w:sz w:val="28"/>
          <w:szCs w:val="28"/>
        </w:rPr>
        <w:t>-х</w:t>
      </w:r>
      <w:r w:rsidR="00B42E8E" w:rsidRPr="00F373B9">
        <w:rPr>
          <w:b w:val="0"/>
          <w:sz w:val="28"/>
          <w:szCs w:val="28"/>
        </w:rPr>
        <w:t> </w:t>
      </w:r>
      <w:r w:rsidRPr="00F373B9">
        <w:rPr>
          <w:b w:val="0"/>
          <w:sz w:val="28"/>
          <w:szCs w:val="28"/>
        </w:rPr>
        <w:t>торгов размещен</w:t>
      </w:r>
      <w:r w:rsidR="006130BD">
        <w:rPr>
          <w:b w:val="0"/>
          <w:sz w:val="28"/>
          <w:szCs w:val="28"/>
        </w:rPr>
        <w:t>о</w:t>
      </w:r>
      <w:r w:rsidRPr="00F373B9">
        <w:rPr>
          <w:b w:val="0"/>
          <w:sz w:val="28"/>
          <w:szCs w:val="28"/>
        </w:rPr>
        <w:t xml:space="preserve"> 421.</w:t>
      </w:r>
      <w:r w:rsidR="005A67C1" w:rsidRPr="00F373B9">
        <w:rPr>
          <w:b w:val="0"/>
          <w:sz w:val="28"/>
          <w:szCs w:val="28"/>
        </w:rPr>
        <w:t xml:space="preserve"> Предварительно заказчиками на 2013</w:t>
      </w:r>
      <w:r w:rsidR="00B42E8E" w:rsidRPr="00F373B9">
        <w:rPr>
          <w:b w:val="0"/>
          <w:sz w:val="28"/>
          <w:szCs w:val="28"/>
        </w:rPr>
        <w:t> </w:t>
      </w:r>
      <w:r w:rsidR="005A67C1" w:rsidRPr="00F373B9">
        <w:rPr>
          <w:b w:val="0"/>
          <w:sz w:val="28"/>
          <w:szCs w:val="28"/>
        </w:rPr>
        <w:t>год запланировано 128</w:t>
      </w:r>
      <w:r w:rsidR="00B42E8E" w:rsidRPr="00F373B9">
        <w:rPr>
          <w:b w:val="0"/>
          <w:sz w:val="28"/>
          <w:szCs w:val="28"/>
        </w:rPr>
        <w:t> </w:t>
      </w:r>
      <w:r w:rsidR="005A67C1" w:rsidRPr="00F373B9">
        <w:rPr>
          <w:b w:val="0"/>
          <w:sz w:val="28"/>
          <w:szCs w:val="28"/>
        </w:rPr>
        <w:t>торгов. Точное количество торгов будет известно</w:t>
      </w:r>
      <w:r w:rsidR="005E1C2B" w:rsidRPr="00F373B9">
        <w:rPr>
          <w:b w:val="0"/>
          <w:sz w:val="28"/>
          <w:szCs w:val="28"/>
        </w:rPr>
        <w:t xml:space="preserve"> после формирования Управлением сводного плана</w:t>
      </w:r>
      <w:r w:rsidR="00B42E8E" w:rsidRPr="00F373B9">
        <w:rPr>
          <w:b w:val="0"/>
          <w:sz w:val="28"/>
          <w:szCs w:val="28"/>
        </w:rPr>
        <w:t>-</w:t>
      </w:r>
      <w:r w:rsidR="005E1C2B" w:rsidRPr="00F373B9">
        <w:rPr>
          <w:b w:val="0"/>
          <w:sz w:val="28"/>
          <w:szCs w:val="28"/>
        </w:rPr>
        <w:t>графика торгов</w:t>
      </w:r>
      <w:r w:rsidR="005E1C2B">
        <w:rPr>
          <w:b w:val="0"/>
          <w:sz w:val="28"/>
          <w:szCs w:val="28"/>
        </w:rPr>
        <w:t xml:space="preserve"> </w:t>
      </w:r>
      <w:r w:rsidR="002924A7">
        <w:rPr>
          <w:b w:val="0"/>
          <w:sz w:val="28"/>
          <w:szCs w:val="28"/>
        </w:rPr>
        <w:t>в срок</w:t>
      </w:r>
      <w:r w:rsidR="005E1C2B">
        <w:rPr>
          <w:b w:val="0"/>
          <w:sz w:val="28"/>
          <w:szCs w:val="28"/>
        </w:rPr>
        <w:t xml:space="preserve"> </w:t>
      </w:r>
      <w:r w:rsidR="006130BD">
        <w:rPr>
          <w:b w:val="0"/>
          <w:sz w:val="28"/>
          <w:szCs w:val="28"/>
        </w:rPr>
        <w:t>29.</w:t>
      </w:r>
      <w:r w:rsidR="00B42E8E">
        <w:rPr>
          <w:b w:val="0"/>
          <w:sz w:val="28"/>
          <w:szCs w:val="28"/>
        </w:rPr>
        <w:t>0</w:t>
      </w:r>
      <w:r w:rsidR="006130BD">
        <w:rPr>
          <w:b w:val="0"/>
          <w:sz w:val="28"/>
          <w:szCs w:val="28"/>
        </w:rPr>
        <w:t>1</w:t>
      </w:r>
      <w:r w:rsidR="00B42E8E">
        <w:rPr>
          <w:b w:val="0"/>
          <w:sz w:val="28"/>
          <w:szCs w:val="28"/>
        </w:rPr>
        <w:t>.201</w:t>
      </w:r>
      <w:r w:rsidR="006130BD">
        <w:rPr>
          <w:b w:val="0"/>
          <w:sz w:val="28"/>
          <w:szCs w:val="28"/>
        </w:rPr>
        <w:t>3</w:t>
      </w:r>
      <w:bookmarkStart w:id="0" w:name="_GoBack"/>
      <w:bookmarkEnd w:id="0"/>
      <w:r w:rsidR="005E1C2B">
        <w:rPr>
          <w:b w:val="0"/>
          <w:sz w:val="28"/>
          <w:szCs w:val="28"/>
        </w:rPr>
        <w:t>.</w:t>
      </w:r>
    </w:p>
    <w:p w:rsidR="00BE6E19" w:rsidRDefault="00BE6E19" w:rsidP="00F373B9">
      <w:pPr>
        <w:pStyle w:val="ConsPlusTitle"/>
        <w:widowControl/>
        <w:ind w:firstLine="708"/>
        <w:jc w:val="both"/>
        <w:rPr>
          <w:b w:val="0"/>
          <w:bCs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 xml:space="preserve">Исходя из </w:t>
      </w:r>
      <w:r w:rsidR="005A67C1">
        <w:rPr>
          <w:b w:val="0"/>
          <w:sz w:val="28"/>
          <w:szCs w:val="28"/>
        </w:rPr>
        <w:t>представленных данных</w:t>
      </w:r>
      <w:r>
        <w:rPr>
          <w:b w:val="0"/>
          <w:sz w:val="28"/>
          <w:szCs w:val="28"/>
        </w:rPr>
        <w:t xml:space="preserve"> прослеживается</w:t>
      </w:r>
      <w:proofErr w:type="gramEnd"/>
      <w:r>
        <w:rPr>
          <w:b w:val="0"/>
          <w:sz w:val="28"/>
          <w:szCs w:val="28"/>
        </w:rPr>
        <w:t xml:space="preserve"> тенденция улучшения заказчиками качества планирования в 2012</w:t>
      </w:r>
      <w:r w:rsidR="00B42E8E">
        <w:rPr>
          <w:b w:val="0"/>
          <w:sz w:val="28"/>
          <w:szCs w:val="28"/>
        </w:rPr>
        <w:t> </w:t>
      </w:r>
      <w:r>
        <w:rPr>
          <w:b w:val="0"/>
          <w:sz w:val="28"/>
          <w:szCs w:val="28"/>
        </w:rPr>
        <w:t>году по сравнению с 2011</w:t>
      </w:r>
      <w:r w:rsidR="00B42E8E">
        <w:rPr>
          <w:b w:val="0"/>
          <w:sz w:val="28"/>
          <w:szCs w:val="28"/>
        </w:rPr>
        <w:t> </w:t>
      </w:r>
      <w:r>
        <w:rPr>
          <w:b w:val="0"/>
          <w:sz w:val="28"/>
          <w:szCs w:val="28"/>
        </w:rPr>
        <w:t>годом.</w:t>
      </w:r>
      <w:r w:rsidR="00164FDA" w:rsidRPr="00164FDA">
        <w:rPr>
          <w:b w:val="0"/>
          <w:sz w:val="28"/>
          <w:szCs w:val="28"/>
        </w:rPr>
        <w:t xml:space="preserve"> </w:t>
      </w:r>
      <w:r w:rsidR="003508D5">
        <w:rPr>
          <w:b w:val="0"/>
          <w:bCs w:val="0"/>
          <w:sz w:val="28"/>
          <w:szCs w:val="28"/>
        </w:rPr>
        <w:t>В ходе реализации план</w:t>
      </w:r>
      <w:r w:rsidR="00164FDA">
        <w:rPr>
          <w:b w:val="0"/>
          <w:bCs w:val="0"/>
          <w:sz w:val="28"/>
          <w:szCs w:val="28"/>
        </w:rPr>
        <w:t>ов</w:t>
      </w:r>
      <w:r w:rsidR="00B42E8E">
        <w:rPr>
          <w:b w:val="0"/>
          <w:bCs w:val="0"/>
          <w:sz w:val="28"/>
          <w:szCs w:val="28"/>
        </w:rPr>
        <w:t>-</w:t>
      </w:r>
      <w:r w:rsidR="003508D5">
        <w:rPr>
          <w:b w:val="0"/>
          <w:bCs w:val="0"/>
          <w:sz w:val="28"/>
          <w:szCs w:val="28"/>
        </w:rPr>
        <w:t>график</w:t>
      </w:r>
      <w:r w:rsidR="00164FDA">
        <w:rPr>
          <w:b w:val="0"/>
          <w:bCs w:val="0"/>
          <w:sz w:val="28"/>
          <w:szCs w:val="28"/>
        </w:rPr>
        <w:t>ов</w:t>
      </w:r>
      <w:r w:rsidR="003508D5">
        <w:rPr>
          <w:b w:val="0"/>
          <w:bCs w:val="0"/>
          <w:sz w:val="28"/>
          <w:szCs w:val="28"/>
        </w:rPr>
        <w:t xml:space="preserve"> на основании писем заказчиков неоднократно осуществлялась корректировка сводного плана</w:t>
      </w:r>
      <w:r w:rsidR="00B42E8E">
        <w:rPr>
          <w:b w:val="0"/>
          <w:bCs w:val="0"/>
          <w:sz w:val="28"/>
          <w:szCs w:val="28"/>
        </w:rPr>
        <w:t>-</w:t>
      </w:r>
      <w:r w:rsidR="003508D5">
        <w:rPr>
          <w:b w:val="0"/>
          <w:bCs w:val="0"/>
          <w:sz w:val="28"/>
          <w:szCs w:val="28"/>
        </w:rPr>
        <w:t>графика размещения заказов</w:t>
      </w:r>
      <w:r w:rsidR="002F7244">
        <w:rPr>
          <w:b w:val="0"/>
          <w:bCs w:val="0"/>
          <w:sz w:val="28"/>
          <w:szCs w:val="28"/>
        </w:rPr>
        <w:t>. В среднем заказчиками было внесено 6</w:t>
      </w:r>
      <w:r w:rsidR="00B42E8E">
        <w:rPr>
          <w:b w:val="0"/>
          <w:bCs w:val="0"/>
          <w:sz w:val="28"/>
          <w:szCs w:val="28"/>
        </w:rPr>
        <w:t> </w:t>
      </w:r>
      <w:r w:rsidR="002F7244">
        <w:rPr>
          <w:b w:val="0"/>
          <w:bCs w:val="0"/>
          <w:sz w:val="28"/>
          <w:szCs w:val="28"/>
        </w:rPr>
        <w:t>корректировок в план</w:t>
      </w:r>
      <w:r w:rsidR="00B42E8E">
        <w:rPr>
          <w:b w:val="0"/>
          <w:bCs w:val="0"/>
          <w:sz w:val="28"/>
          <w:szCs w:val="28"/>
        </w:rPr>
        <w:t>-</w:t>
      </w:r>
      <w:r w:rsidR="002F7244">
        <w:rPr>
          <w:b w:val="0"/>
          <w:bCs w:val="0"/>
          <w:sz w:val="28"/>
          <w:szCs w:val="28"/>
        </w:rPr>
        <w:t xml:space="preserve">график торгов. При этом корректировки вносились </w:t>
      </w:r>
      <w:r w:rsidR="00F03316">
        <w:rPr>
          <w:b w:val="0"/>
          <w:bCs w:val="0"/>
          <w:sz w:val="28"/>
          <w:szCs w:val="28"/>
        </w:rPr>
        <w:t>бессистемно и основной причиной внесения изменений</w:t>
      </w:r>
      <w:r w:rsidR="002924A7">
        <w:rPr>
          <w:b w:val="0"/>
          <w:bCs w:val="0"/>
          <w:sz w:val="28"/>
          <w:szCs w:val="28"/>
        </w:rPr>
        <w:t>,</w:t>
      </w:r>
      <w:r w:rsidR="00F03316">
        <w:rPr>
          <w:b w:val="0"/>
          <w:bCs w:val="0"/>
          <w:sz w:val="28"/>
          <w:szCs w:val="28"/>
        </w:rPr>
        <w:t xml:space="preserve"> исходя из писем заказчиков, являющихся основанием для внесения изменений в сводный план</w:t>
      </w:r>
      <w:r w:rsidR="00B42E8E">
        <w:rPr>
          <w:b w:val="0"/>
          <w:bCs w:val="0"/>
          <w:sz w:val="28"/>
          <w:szCs w:val="28"/>
        </w:rPr>
        <w:t>-</w:t>
      </w:r>
      <w:r w:rsidR="00F03316">
        <w:rPr>
          <w:b w:val="0"/>
          <w:bCs w:val="0"/>
          <w:sz w:val="28"/>
          <w:szCs w:val="28"/>
        </w:rPr>
        <w:t>график торгов</w:t>
      </w:r>
      <w:r w:rsidR="002924A7">
        <w:rPr>
          <w:b w:val="0"/>
          <w:bCs w:val="0"/>
          <w:sz w:val="28"/>
          <w:szCs w:val="28"/>
        </w:rPr>
        <w:t>,</w:t>
      </w:r>
      <w:r w:rsidR="00F03316">
        <w:rPr>
          <w:b w:val="0"/>
          <w:bCs w:val="0"/>
          <w:sz w:val="28"/>
          <w:szCs w:val="28"/>
        </w:rPr>
        <w:t xml:space="preserve"> являлись </w:t>
      </w:r>
      <w:r w:rsidR="00F03316" w:rsidRPr="00F03316">
        <w:rPr>
          <w:b w:val="0"/>
          <w:bCs w:val="0"/>
          <w:sz w:val="28"/>
          <w:szCs w:val="28"/>
        </w:rPr>
        <w:t>обстоятельства, предвидеть которые на дату утверждения плана</w:t>
      </w:r>
      <w:r w:rsidR="00B42E8E">
        <w:rPr>
          <w:b w:val="0"/>
          <w:bCs w:val="0"/>
          <w:sz w:val="28"/>
          <w:szCs w:val="28"/>
        </w:rPr>
        <w:t>-</w:t>
      </w:r>
      <w:r w:rsidR="00F03316" w:rsidRPr="00F03316">
        <w:rPr>
          <w:b w:val="0"/>
          <w:bCs w:val="0"/>
          <w:sz w:val="28"/>
          <w:szCs w:val="28"/>
        </w:rPr>
        <w:t>графика было невозможно</w:t>
      </w:r>
      <w:r w:rsidR="00F03316">
        <w:rPr>
          <w:b w:val="0"/>
          <w:bCs w:val="0"/>
          <w:sz w:val="28"/>
          <w:szCs w:val="28"/>
        </w:rPr>
        <w:t>.</w:t>
      </w:r>
      <w:r>
        <w:rPr>
          <w:b w:val="0"/>
          <w:bCs w:val="0"/>
          <w:sz w:val="28"/>
          <w:szCs w:val="28"/>
        </w:rPr>
        <w:t xml:space="preserve"> В целях повышения качества и</w:t>
      </w:r>
      <w:r w:rsidR="00164FDA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 xml:space="preserve">оптимизации планирования размещения заказов </w:t>
      </w:r>
      <w:r w:rsidR="00265F7B">
        <w:rPr>
          <w:b w:val="0"/>
          <w:bCs w:val="0"/>
          <w:sz w:val="28"/>
          <w:szCs w:val="28"/>
        </w:rPr>
        <w:t>Управлением в 2012</w:t>
      </w:r>
      <w:r w:rsidR="00B42E8E">
        <w:rPr>
          <w:b w:val="0"/>
          <w:bCs w:val="0"/>
          <w:sz w:val="28"/>
          <w:szCs w:val="28"/>
        </w:rPr>
        <w:t> </w:t>
      </w:r>
      <w:r w:rsidR="00265F7B">
        <w:rPr>
          <w:b w:val="0"/>
          <w:bCs w:val="0"/>
          <w:sz w:val="28"/>
          <w:szCs w:val="28"/>
        </w:rPr>
        <w:t>году были внесены изменения в порядок взаимодействия уполномоченного органа и заказчиков</w:t>
      </w:r>
      <w:r>
        <w:rPr>
          <w:b w:val="0"/>
          <w:bCs w:val="0"/>
          <w:sz w:val="28"/>
          <w:szCs w:val="28"/>
        </w:rPr>
        <w:t>, а именно установлены сроки и порядок внесения изменений в планы</w:t>
      </w:r>
      <w:r w:rsidR="00B42E8E">
        <w:rPr>
          <w:b w:val="0"/>
          <w:bCs w:val="0"/>
          <w:sz w:val="28"/>
          <w:szCs w:val="28"/>
        </w:rPr>
        <w:t>-</w:t>
      </w:r>
      <w:r>
        <w:rPr>
          <w:b w:val="0"/>
          <w:bCs w:val="0"/>
          <w:sz w:val="28"/>
          <w:szCs w:val="28"/>
        </w:rPr>
        <w:t>графики, а также сроки и порядок подачи заявок на размещение заказов в Управление</w:t>
      </w:r>
      <w:r w:rsidR="00265F7B">
        <w:rPr>
          <w:b w:val="0"/>
          <w:bCs w:val="0"/>
          <w:sz w:val="28"/>
          <w:szCs w:val="28"/>
        </w:rPr>
        <w:t>.</w:t>
      </w:r>
      <w:r>
        <w:rPr>
          <w:b w:val="0"/>
          <w:bCs w:val="0"/>
          <w:sz w:val="28"/>
          <w:szCs w:val="28"/>
        </w:rPr>
        <w:t xml:space="preserve"> В 2013</w:t>
      </w:r>
      <w:r w:rsidR="00B42E8E">
        <w:rPr>
          <w:b w:val="0"/>
          <w:bCs w:val="0"/>
          <w:sz w:val="28"/>
          <w:szCs w:val="28"/>
        </w:rPr>
        <w:t> </w:t>
      </w:r>
      <w:r>
        <w:rPr>
          <w:b w:val="0"/>
          <w:bCs w:val="0"/>
          <w:sz w:val="28"/>
          <w:szCs w:val="28"/>
        </w:rPr>
        <w:t>году в случае необходимости внесения изменений в план</w:t>
      </w:r>
      <w:r w:rsidR="00B42E8E">
        <w:rPr>
          <w:b w:val="0"/>
          <w:bCs w:val="0"/>
          <w:sz w:val="28"/>
          <w:szCs w:val="28"/>
        </w:rPr>
        <w:t>-</w:t>
      </w:r>
      <w:r>
        <w:rPr>
          <w:b w:val="0"/>
          <w:bCs w:val="0"/>
          <w:sz w:val="28"/>
          <w:szCs w:val="28"/>
        </w:rPr>
        <w:t>график они могут быть внесены до 25</w:t>
      </w:r>
      <w:r w:rsidR="00F373B9">
        <w:rPr>
          <w:b w:val="0"/>
          <w:bCs w:val="0"/>
          <w:sz w:val="28"/>
          <w:szCs w:val="28"/>
        </w:rPr>
        <w:t> </w:t>
      </w:r>
      <w:r>
        <w:rPr>
          <w:b w:val="0"/>
          <w:bCs w:val="0"/>
          <w:sz w:val="28"/>
          <w:szCs w:val="28"/>
        </w:rPr>
        <w:t>числа текущего месяца. Заявки на размещение заказа в текущем ме</w:t>
      </w:r>
      <w:r w:rsidR="00F373B9">
        <w:rPr>
          <w:b w:val="0"/>
          <w:bCs w:val="0"/>
          <w:sz w:val="28"/>
          <w:szCs w:val="28"/>
        </w:rPr>
        <w:t>сяце заказчиками подаются до 15 </w:t>
      </w:r>
      <w:r>
        <w:rPr>
          <w:b w:val="0"/>
          <w:bCs w:val="0"/>
          <w:sz w:val="28"/>
          <w:szCs w:val="28"/>
        </w:rPr>
        <w:t xml:space="preserve">числа текущего месяца. </w:t>
      </w:r>
    </w:p>
    <w:p w:rsidR="00B4016A" w:rsidRDefault="00B4016A" w:rsidP="00F373B9">
      <w:pPr>
        <w:pStyle w:val="ConsPlusTitle"/>
        <w:widowControl/>
        <w:ind w:firstLine="708"/>
        <w:jc w:val="both"/>
        <w:rPr>
          <w:sz w:val="28"/>
          <w:szCs w:val="28"/>
        </w:rPr>
      </w:pPr>
      <w:r w:rsidRPr="00B4016A">
        <w:rPr>
          <w:b w:val="0"/>
          <w:i/>
          <w:sz w:val="28"/>
          <w:szCs w:val="28"/>
        </w:rPr>
        <w:t>Объем продукции, выставленной на торги.</w:t>
      </w:r>
    </w:p>
    <w:p w:rsidR="005E1C2B" w:rsidRDefault="005A67C1" w:rsidP="00F373B9">
      <w:pPr>
        <w:pStyle w:val="ConsPlusTitle"/>
        <w:widowControl/>
        <w:ind w:firstLine="708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В 2012</w:t>
      </w:r>
      <w:r w:rsidR="00F373B9">
        <w:rPr>
          <w:b w:val="0"/>
          <w:bCs w:val="0"/>
          <w:sz w:val="28"/>
          <w:szCs w:val="28"/>
        </w:rPr>
        <w:t> </w:t>
      </w:r>
      <w:r>
        <w:rPr>
          <w:b w:val="0"/>
          <w:bCs w:val="0"/>
          <w:sz w:val="28"/>
          <w:szCs w:val="28"/>
        </w:rPr>
        <w:t>году Управлением размещена 421</w:t>
      </w:r>
      <w:r w:rsidR="00F373B9">
        <w:rPr>
          <w:b w:val="0"/>
          <w:bCs w:val="0"/>
          <w:sz w:val="28"/>
          <w:szCs w:val="28"/>
        </w:rPr>
        <w:t> </w:t>
      </w:r>
      <w:r>
        <w:rPr>
          <w:b w:val="0"/>
          <w:bCs w:val="0"/>
          <w:sz w:val="28"/>
          <w:szCs w:val="28"/>
        </w:rPr>
        <w:t xml:space="preserve">закупка путем проведения </w:t>
      </w:r>
      <w:r w:rsidRPr="00960DBF">
        <w:rPr>
          <w:b w:val="0"/>
          <w:bCs w:val="0"/>
          <w:sz w:val="28"/>
          <w:szCs w:val="28"/>
        </w:rPr>
        <w:t xml:space="preserve">торгов на общую сумму </w:t>
      </w:r>
      <w:r w:rsidRPr="00960DBF">
        <w:rPr>
          <w:b w:val="0"/>
          <w:bCs w:val="0"/>
          <w:sz w:val="28"/>
          <w:szCs w:val="28"/>
          <w:shd w:val="clear" w:color="auto" w:fill="FFFFFF" w:themeFill="background1"/>
        </w:rPr>
        <w:t>996</w:t>
      </w:r>
      <w:r w:rsidR="00F373B9">
        <w:rPr>
          <w:b w:val="0"/>
          <w:bCs w:val="0"/>
          <w:sz w:val="28"/>
          <w:szCs w:val="28"/>
          <w:shd w:val="clear" w:color="auto" w:fill="FFFFFF" w:themeFill="background1"/>
        </w:rPr>
        <w:t> </w:t>
      </w:r>
      <w:r w:rsidRPr="00960DBF">
        <w:rPr>
          <w:b w:val="0"/>
          <w:bCs w:val="0"/>
          <w:sz w:val="28"/>
          <w:szCs w:val="28"/>
          <w:shd w:val="clear" w:color="auto" w:fill="FFFFFF" w:themeFill="background1"/>
        </w:rPr>
        <w:t>млн.</w:t>
      </w:r>
      <w:r w:rsidR="00F373B9">
        <w:rPr>
          <w:b w:val="0"/>
          <w:bCs w:val="0"/>
          <w:sz w:val="28"/>
          <w:szCs w:val="28"/>
          <w:shd w:val="clear" w:color="auto" w:fill="FFFFFF" w:themeFill="background1"/>
        </w:rPr>
        <w:t> </w:t>
      </w:r>
      <w:r w:rsidRPr="00960DBF">
        <w:rPr>
          <w:b w:val="0"/>
          <w:bCs w:val="0"/>
          <w:sz w:val="28"/>
          <w:szCs w:val="28"/>
          <w:shd w:val="clear" w:color="auto" w:fill="FFFFFF" w:themeFill="background1"/>
        </w:rPr>
        <w:t>рублей</w:t>
      </w:r>
      <w:r w:rsidR="00F373B9">
        <w:rPr>
          <w:b w:val="0"/>
          <w:bCs w:val="0"/>
          <w:sz w:val="28"/>
          <w:szCs w:val="28"/>
          <w:shd w:val="clear" w:color="auto" w:fill="FFFFFF" w:themeFill="background1"/>
        </w:rPr>
        <w:t>.</w:t>
      </w:r>
      <w:r w:rsidR="005E1C2B" w:rsidRPr="00960DBF">
        <w:rPr>
          <w:b w:val="0"/>
          <w:bCs w:val="0"/>
          <w:sz w:val="28"/>
          <w:szCs w:val="28"/>
        </w:rPr>
        <w:t xml:space="preserve"> Экономия составила</w:t>
      </w:r>
      <w:r w:rsidR="002924A7" w:rsidRPr="00960DBF">
        <w:rPr>
          <w:b w:val="0"/>
          <w:bCs w:val="0"/>
          <w:sz w:val="28"/>
          <w:szCs w:val="28"/>
        </w:rPr>
        <w:t xml:space="preserve"> 108</w:t>
      </w:r>
      <w:r w:rsidR="00F373B9">
        <w:rPr>
          <w:b w:val="0"/>
          <w:bCs w:val="0"/>
          <w:sz w:val="28"/>
          <w:szCs w:val="28"/>
        </w:rPr>
        <w:t> </w:t>
      </w:r>
      <w:r w:rsidR="002924A7" w:rsidRPr="00960DBF">
        <w:rPr>
          <w:b w:val="0"/>
          <w:bCs w:val="0"/>
          <w:sz w:val="28"/>
          <w:szCs w:val="28"/>
        </w:rPr>
        <w:t>млн.</w:t>
      </w:r>
      <w:r w:rsidR="00F373B9">
        <w:rPr>
          <w:b w:val="0"/>
          <w:bCs w:val="0"/>
          <w:sz w:val="28"/>
          <w:szCs w:val="28"/>
        </w:rPr>
        <w:t xml:space="preserve"> </w:t>
      </w:r>
      <w:r w:rsidR="002924A7" w:rsidRPr="00960DBF">
        <w:rPr>
          <w:b w:val="0"/>
          <w:bCs w:val="0"/>
          <w:sz w:val="28"/>
          <w:szCs w:val="28"/>
        </w:rPr>
        <w:t>рублей.</w:t>
      </w:r>
      <w:r w:rsidR="002924A7">
        <w:rPr>
          <w:b w:val="0"/>
          <w:bCs w:val="0"/>
          <w:sz w:val="28"/>
          <w:szCs w:val="28"/>
        </w:rPr>
        <w:t xml:space="preserve"> Для сравнения </w:t>
      </w:r>
      <w:r>
        <w:rPr>
          <w:b w:val="0"/>
          <w:bCs w:val="0"/>
          <w:sz w:val="28"/>
          <w:szCs w:val="28"/>
        </w:rPr>
        <w:t>в 2011</w:t>
      </w:r>
      <w:r w:rsidR="00F373B9">
        <w:rPr>
          <w:b w:val="0"/>
          <w:bCs w:val="0"/>
          <w:sz w:val="28"/>
          <w:szCs w:val="28"/>
        </w:rPr>
        <w:t> </w:t>
      </w:r>
      <w:r>
        <w:rPr>
          <w:b w:val="0"/>
          <w:bCs w:val="0"/>
          <w:sz w:val="28"/>
          <w:szCs w:val="28"/>
        </w:rPr>
        <w:t xml:space="preserve">году </w:t>
      </w:r>
      <w:r w:rsidR="002924A7">
        <w:rPr>
          <w:b w:val="0"/>
          <w:bCs w:val="0"/>
          <w:sz w:val="28"/>
          <w:szCs w:val="28"/>
        </w:rPr>
        <w:t xml:space="preserve">объем </w:t>
      </w:r>
      <w:proofErr w:type="gramStart"/>
      <w:r w:rsidR="002924A7">
        <w:rPr>
          <w:b w:val="0"/>
          <w:bCs w:val="0"/>
          <w:sz w:val="28"/>
          <w:szCs w:val="28"/>
        </w:rPr>
        <w:t>продукции, выставленной на торги составил</w:t>
      </w:r>
      <w:proofErr w:type="gramEnd"/>
      <w:r w:rsidR="002924A7">
        <w:rPr>
          <w:b w:val="0"/>
          <w:bCs w:val="0"/>
          <w:sz w:val="28"/>
          <w:szCs w:val="28"/>
        </w:rPr>
        <w:t xml:space="preserve"> 875</w:t>
      </w:r>
      <w:r w:rsidR="00F373B9">
        <w:rPr>
          <w:b w:val="0"/>
          <w:bCs w:val="0"/>
          <w:sz w:val="28"/>
          <w:szCs w:val="28"/>
        </w:rPr>
        <w:t> </w:t>
      </w:r>
      <w:r w:rsidR="002924A7">
        <w:rPr>
          <w:b w:val="0"/>
          <w:bCs w:val="0"/>
          <w:sz w:val="28"/>
          <w:szCs w:val="28"/>
        </w:rPr>
        <w:t>млн.</w:t>
      </w:r>
      <w:r w:rsidR="00F373B9">
        <w:rPr>
          <w:b w:val="0"/>
          <w:bCs w:val="0"/>
          <w:sz w:val="28"/>
          <w:szCs w:val="28"/>
        </w:rPr>
        <w:t> </w:t>
      </w:r>
      <w:r w:rsidR="002924A7">
        <w:rPr>
          <w:b w:val="0"/>
          <w:bCs w:val="0"/>
          <w:sz w:val="28"/>
          <w:szCs w:val="28"/>
        </w:rPr>
        <w:t>рублей, экономия – 94</w:t>
      </w:r>
      <w:r w:rsidR="00F373B9">
        <w:rPr>
          <w:b w:val="0"/>
          <w:bCs w:val="0"/>
          <w:sz w:val="28"/>
          <w:szCs w:val="28"/>
        </w:rPr>
        <w:t> </w:t>
      </w:r>
      <w:r w:rsidR="002924A7">
        <w:rPr>
          <w:b w:val="0"/>
          <w:bCs w:val="0"/>
          <w:sz w:val="28"/>
          <w:szCs w:val="28"/>
        </w:rPr>
        <w:t>млн.</w:t>
      </w:r>
      <w:r w:rsidR="00F373B9">
        <w:rPr>
          <w:b w:val="0"/>
          <w:bCs w:val="0"/>
          <w:sz w:val="28"/>
          <w:szCs w:val="28"/>
        </w:rPr>
        <w:t> </w:t>
      </w:r>
      <w:r w:rsidR="002924A7">
        <w:rPr>
          <w:b w:val="0"/>
          <w:bCs w:val="0"/>
          <w:sz w:val="28"/>
          <w:szCs w:val="28"/>
        </w:rPr>
        <w:t>рублей</w:t>
      </w:r>
      <w:r w:rsidR="00B4016A">
        <w:rPr>
          <w:b w:val="0"/>
          <w:bCs w:val="0"/>
          <w:sz w:val="28"/>
          <w:szCs w:val="28"/>
        </w:rPr>
        <w:t>. П</w:t>
      </w:r>
      <w:r>
        <w:rPr>
          <w:b w:val="0"/>
          <w:bCs w:val="0"/>
          <w:sz w:val="28"/>
          <w:szCs w:val="28"/>
        </w:rPr>
        <w:t>о сравнению с 2011</w:t>
      </w:r>
      <w:r w:rsidR="00F373B9">
        <w:rPr>
          <w:b w:val="0"/>
          <w:bCs w:val="0"/>
          <w:sz w:val="28"/>
          <w:szCs w:val="28"/>
        </w:rPr>
        <w:t> </w:t>
      </w:r>
      <w:r>
        <w:rPr>
          <w:b w:val="0"/>
          <w:bCs w:val="0"/>
          <w:sz w:val="28"/>
          <w:szCs w:val="28"/>
        </w:rPr>
        <w:t xml:space="preserve">годом количество торгов </w:t>
      </w:r>
      <w:r w:rsidRPr="00960DBF">
        <w:rPr>
          <w:b w:val="0"/>
          <w:bCs w:val="0"/>
          <w:sz w:val="28"/>
          <w:szCs w:val="28"/>
        </w:rPr>
        <w:t xml:space="preserve">увеличилось на </w:t>
      </w:r>
      <w:r w:rsidR="00B4016A" w:rsidRPr="00960DBF">
        <w:rPr>
          <w:b w:val="0"/>
          <w:bCs w:val="0"/>
          <w:sz w:val="28"/>
          <w:szCs w:val="28"/>
        </w:rPr>
        <w:t>110</w:t>
      </w:r>
      <w:r w:rsidR="00F373B9">
        <w:rPr>
          <w:b w:val="0"/>
          <w:bCs w:val="0"/>
          <w:sz w:val="28"/>
          <w:szCs w:val="28"/>
        </w:rPr>
        <w:t> </w:t>
      </w:r>
      <w:r w:rsidR="00B4016A" w:rsidRPr="00960DBF">
        <w:rPr>
          <w:b w:val="0"/>
          <w:bCs w:val="0"/>
          <w:sz w:val="28"/>
          <w:szCs w:val="28"/>
        </w:rPr>
        <w:t>закупок</w:t>
      </w:r>
      <w:r w:rsidR="00960DBF" w:rsidRPr="00960DBF">
        <w:rPr>
          <w:b w:val="0"/>
          <w:bCs w:val="0"/>
          <w:sz w:val="28"/>
          <w:szCs w:val="28"/>
        </w:rPr>
        <w:t xml:space="preserve"> и</w:t>
      </w:r>
      <w:r w:rsidRPr="00960DBF">
        <w:rPr>
          <w:b w:val="0"/>
          <w:bCs w:val="0"/>
          <w:sz w:val="28"/>
          <w:szCs w:val="28"/>
        </w:rPr>
        <w:t xml:space="preserve">ли на </w:t>
      </w:r>
      <w:r w:rsidR="00B4016A" w:rsidRPr="00960DBF">
        <w:rPr>
          <w:b w:val="0"/>
          <w:bCs w:val="0"/>
          <w:sz w:val="28"/>
          <w:szCs w:val="28"/>
        </w:rPr>
        <w:t>26</w:t>
      </w:r>
      <w:r w:rsidRPr="00960DBF">
        <w:rPr>
          <w:b w:val="0"/>
          <w:bCs w:val="0"/>
          <w:sz w:val="28"/>
          <w:szCs w:val="28"/>
        </w:rPr>
        <w:t>%.</w:t>
      </w:r>
    </w:p>
    <w:p w:rsidR="00960DBF" w:rsidRDefault="00960DBF" w:rsidP="00F373B9">
      <w:pPr>
        <w:pStyle w:val="ConsPlusTitle"/>
        <w:widowControl/>
        <w:ind w:firstLine="708"/>
        <w:jc w:val="both"/>
        <w:rPr>
          <w:bCs w:val="0"/>
          <w:sz w:val="28"/>
          <w:szCs w:val="28"/>
        </w:rPr>
      </w:pPr>
      <w:r w:rsidRPr="00960DBF">
        <w:rPr>
          <w:b w:val="0"/>
          <w:bCs w:val="0"/>
          <w:i/>
          <w:sz w:val="28"/>
          <w:szCs w:val="28"/>
        </w:rPr>
        <w:t>Информация о результативности торгов</w:t>
      </w:r>
      <w:r>
        <w:rPr>
          <w:b w:val="0"/>
          <w:bCs w:val="0"/>
          <w:i/>
          <w:sz w:val="28"/>
          <w:szCs w:val="28"/>
        </w:rPr>
        <w:t>.</w:t>
      </w:r>
    </w:p>
    <w:p w:rsidR="005E1C2B" w:rsidRPr="005E1C2B" w:rsidRDefault="005E1C2B" w:rsidP="00F373B9">
      <w:pPr>
        <w:pStyle w:val="ConsPlusTitle"/>
        <w:widowControl/>
        <w:ind w:firstLine="708"/>
        <w:jc w:val="both"/>
        <w:rPr>
          <w:b w:val="0"/>
          <w:bCs w:val="0"/>
          <w:sz w:val="28"/>
          <w:szCs w:val="28"/>
        </w:rPr>
      </w:pPr>
      <w:r w:rsidRPr="005E1C2B">
        <w:rPr>
          <w:b w:val="0"/>
          <w:bCs w:val="0"/>
          <w:sz w:val="28"/>
          <w:szCs w:val="28"/>
        </w:rPr>
        <w:lastRenderedPageBreak/>
        <w:t xml:space="preserve">Из общего количества проведенных торгов </w:t>
      </w:r>
      <w:r>
        <w:rPr>
          <w:b w:val="0"/>
          <w:bCs w:val="0"/>
          <w:sz w:val="28"/>
          <w:szCs w:val="28"/>
        </w:rPr>
        <w:t xml:space="preserve">(421) </w:t>
      </w:r>
      <w:r w:rsidRPr="005E1C2B">
        <w:rPr>
          <w:b w:val="0"/>
          <w:bCs w:val="0"/>
          <w:sz w:val="28"/>
          <w:szCs w:val="28"/>
        </w:rPr>
        <w:t>результативными, которые привели к заключению контракта</w:t>
      </w:r>
      <w:r>
        <w:rPr>
          <w:b w:val="0"/>
          <w:bCs w:val="0"/>
          <w:sz w:val="28"/>
          <w:szCs w:val="28"/>
        </w:rPr>
        <w:t>,</w:t>
      </w:r>
      <w:r w:rsidRPr="005E1C2B">
        <w:rPr>
          <w:b w:val="0"/>
          <w:bCs w:val="0"/>
          <w:sz w:val="28"/>
          <w:szCs w:val="28"/>
        </w:rPr>
        <w:t xml:space="preserve"> оказались 391</w:t>
      </w:r>
      <w:r w:rsidR="00F373B9">
        <w:rPr>
          <w:b w:val="0"/>
          <w:bCs w:val="0"/>
          <w:sz w:val="28"/>
          <w:szCs w:val="28"/>
        </w:rPr>
        <w:t> </w:t>
      </w:r>
      <w:r w:rsidRPr="005E1C2B">
        <w:rPr>
          <w:b w:val="0"/>
          <w:bCs w:val="0"/>
          <w:sz w:val="28"/>
          <w:szCs w:val="28"/>
        </w:rPr>
        <w:t>закупка или 93%, не привели к заключению контракта – 30</w:t>
      </w:r>
      <w:r w:rsidR="00F373B9">
        <w:rPr>
          <w:b w:val="0"/>
          <w:bCs w:val="0"/>
          <w:sz w:val="28"/>
          <w:szCs w:val="28"/>
        </w:rPr>
        <w:t> </w:t>
      </w:r>
      <w:r>
        <w:rPr>
          <w:b w:val="0"/>
          <w:bCs w:val="0"/>
          <w:sz w:val="28"/>
          <w:szCs w:val="28"/>
        </w:rPr>
        <w:t xml:space="preserve">закупок или </w:t>
      </w:r>
      <w:r w:rsidRPr="005E1C2B">
        <w:rPr>
          <w:b w:val="0"/>
          <w:bCs w:val="0"/>
          <w:sz w:val="28"/>
          <w:szCs w:val="28"/>
        </w:rPr>
        <w:t>7%</w:t>
      </w:r>
      <w:r>
        <w:rPr>
          <w:b w:val="0"/>
          <w:bCs w:val="0"/>
          <w:sz w:val="28"/>
          <w:szCs w:val="28"/>
        </w:rPr>
        <w:t>.</w:t>
      </w:r>
    </w:p>
    <w:p w:rsidR="00DE5C3F" w:rsidRPr="00DE5C3F" w:rsidRDefault="00DE5C3F" w:rsidP="00F373B9">
      <w:pPr>
        <w:pStyle w:val="ConsPlusTitle"/>
        <w:widowControl/>
        <w:ind w:firstLine="708"/>
        <w:jc w:val="both"/>
        <w:rPr>
          <w:b w:val="0"/>
          <w:bCs w:val="0"/>
          <w:i/>
          <w:sz w:val="28"/>
          <w:szCs w:val="28"/>
        </w:rPr>
      </w:pPr>
      <w:r w:rsidRPr="00DE5C3F">
        <w:rPr>
          <w:b w:val="0"/>
          <w:bCs w:val="0"/>
          <w:i/>
          <w:sz w:val="28"/>
          <w:szCs w:val="28"/>
        </w:rPr>
        <w:t>Структура размещения заказа по основным заказчикам в 2012</w:t>
      </w:r>
      <w:r w:rsidR="00F373B9">
        <w:rPr>
          <w:b w:val="0"/>
          <w:bCs w:val="0"/>
          <w:i/>
          <w:sz w:val="28"/>
          <w:szCs w:val="28"/>
        </w:rPr>
        <w:t> </w:t>
      </w:r>
      <w:r w:rsidRPr="00DE5C3F">
        <w:rPr>
          <w:b w:val="0"/>
          <w:bCs w:val="0"/>
          <w:i/>
          <w:sz w:val="28"/>
          <w:szCs w:val="28"/>
        </w:rPr>
        <w:t>году.</w:t>
      </w:r>
    </w:p>
    <w:p w:rsidR="0054013C" w:rsidRDefault="005E1C2B" w:rsidP="00F373B9">
      <w:pPr>
        <w:pStyle w:val="ConsPlusTitle"/>
        <w:widowControl/>
        <w:ind w:firstLine="708"/>
        <w:jc w:val="both"/>
        <w:rPr>
          <w:b w:val="0"/>
          <w:bCs w:val="0"/>
          <w:sz w:val="28"/>
          <w:szCs w:val="28"/>
        </w:rPr>
      </w:pPr>
      <w:r w:rsidRPr="00DE5C3F">
        <w:rPr>
          <w:b w:val="0"/>
          <w:bCs w:val="0"/>
          <w:sz w:val="28"/>
          <w:szCs w:val="28"/>
        </w:rPr>
        <w:t>Из о</w:t>
      </w:r>
      <w:r w:rsidRPr="005E1C2B">
        <w:rPr>
          <w:b w:val="0"/>
          <w:bCs w:val="0"/>
          <w:sz w:val="28"/>
          <w:szCs w:val="28"/>
        </w:rPr>
        <w:t xml:space="preserve">бщего числа </w:t>
      </w:r>
      <w:r>
        <w:rPr>
          <w:b w:val="0"/>
          <w:bCs w:val="0"/>
          <w:sz w:val="28"/>
          <w:szCs w:val="28"/>
        </w:rPr>
        <w:t xml:space="preserve">заявок, поданных в Управление на размещение </w:t>
      </w:r>
      <w:r w:rsidR="0054013C">
        <w:rPr>
          <w:b w:val="0"/>
          <w:bCs w:val="0"/>
          <w:sz w:val="28"/>
          <w:szCs w:val="28"/>
        </w:rPr>
        <w:t>тор</w:t>
      </w:r>
      <w:r>
        <w:rPr>
          <w:b w:val="0"/>
          <w:bCs w:val="0"/>
          <w:sz w:val="28"/>
          <w:szCs w:val="28"/>
        </w:rPr>
        <w:t>гов</w:t>
      </w:r>
      <w:r w:rsidR="0054013C">
        <w:rPr>
          <w:b w:val="0"/>
          <w:bCs w:val="0"/>
          <w:sz w:val="28"/>
          <w:szCs w:val="28"/>
        </w:rPr>
        <w:t xml:space="preserve"> в 2012</w:t>
      </w:r>
      <w:r w:rsidR="00F373B9">
        <w:rPr>
          <w:b w:val="0"/>
          <w:bCs w:val="0"/>
          <w:sz w:val="28"/>
          <w:szCs w:val="28"/>
        </w:rPr>
        <w:t> </w:t>
      </w:r>
      <w:r w:rsidR="0054013C">
        <w:rPr>
          <w:b w:val="0"/>
          <w:bCs w:val="0"/>
          <w:sz w:val="28"/>
          <w:szCs w:val="28"/>
        </w:rPr>
        <w:t xml:space="preserve">году, основная доля заявок приходится на следующих </w:t>
      </w:r>
      <w:r w:rsidRPr="005E1C2B">
        <w:rPr>
          <w:b w:val="0"/>
          <w:bCs w:val="0"/>
          <w:sz w:val="28"/>
          <w:szCs w:val="28"/>
        </w:rPr>
        <w:t>заказчиков</w:t>
      </w:r>
      <w:r w:rsidR="0054013C">
        <w:rPr>
          <w:b w:val="0"/>
          <w:bCs w:val="0"/>
          <w:sz w:val="28"/>
          <w:szCs w:val="28"/>
        </w:rPr>
        <w:t xml:space="preserve">: </w:t>
      </w:r>
    </w:p>
    <w:p w:rsidR="0054013C" w:rsidRDefault="0054013C" w:rsidP="00F373B9">
      <w:pPr>
        <w:pStyle w:val="ConsPlusTitle"/>
        <w:widowControl/>
        <w:ind w:firstLine="708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- здравоохранение</w:t>
      </w:r>
      <w:r w:rsidR="00960DBF">
        <w:rPr>
          <w:b w:val="0"/>
          <w:bCs w:val="0"/>
          <w:sz w:val="28"/>
          <w:szCs w:val="28"/>
        </w:rPr>
        <w:t xml:space="preserve"> </w:t>
      </w:r>
      <w:r w:rsidR="00F373B9">
        <w:rPr>
          <w:b w:val="0"/>
          <w:bCs w:val="0"/>
          <w:sz w:val="28"/>
          <w:szCs w:val="28"/>
        </w:rPr>
        <w:t xml:space="preserve">– </w:t>
      </w:r>
      <w:r w:rsidR="00960DBF">
        <w:rPr>
          <w:b w:val="0"/>
          <w:bCs w:val="0"/>
          <w:sz w:val="28"/>
          <w:szCs w:val="28"/>
        </w:rPr>
        <w:t>206</w:t>
      </w:r>
      <w:r w:rsidR="00F373B9">
        <w:rPr>
          <w:b w:val="0"/>
          <w:bCs w:val="0"/>
          <w:sz w:val="28"/>
          <w:szCs w:val="28"/>
        </w:rPr>
        <w:t> </w:t>
      </w:r>
      <w:r w:rsidR="00960DBF">
        <w:rPr>
          <w:b w:val="0"/>
          <w:bCs w:val="0"/>
          <w:sz w:val="28"/>
          <w:szCs w:val="28"/>
        </w:rPr>
        <w:t>закупок (49% от общего объема);</w:t>
      </w:r>
    </w:p>
    <w:p w:rsidR="00960DBF" w:rsidRDefault="00960DBF" w:rsidP="00F373B9">
      <w:pPr>
        <w:pStyle w:val="ConsPlusTitle"/>
        <w:widowControl/>
        <w:ind w:firstLine="708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- МКУ ДСиГХ</w:t>
      </w:r>
      <w:r w:rsidR="00F373B9">
        <w:rPr>
          <w:b w:val="0"/>
          <w:bCs w:val="0"/>
          <w:sz w:val="28"/>
          <w:szCs w:val="28"/>
        </w:rPr>
        <w:t xml:space="preserve"> –</w:t>
      </w:r>
      <w:r>
        <w:rPr>
          <w:b w:val="0"/>
          <w:bCs w:val="0"/>
          <w:sz w:val="28"/>
          <w:szCs w:val="28"/>
        </w:rPr>
        <w:t xml:space="preserve"> 116</w:t>
      </w:r>
      <w:r w:rsidR="00F373B9">
        <w:rPr>
          <w:b w:val="0"/>
          <w:bCs w:val="0"/>
          <w:sz w:val="28"/>
          <w:szCs w:val="28"/>
        </w:rPr>
        <w:t> </w:t>
      </w:r>
      <w:r>
        <w:rPr>
          <w:b w:val="0"/>
          <w:bCs w:val="0"/>
          <w:sz w:val="28"/>
          <w:szCs w:val="28"/>
        </w:rPr>
        <w:t>закупок (28%</w:t>
      </w:r>
      <w:r w:rsidRPr="00960DBF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>от общего объема);</w:t>
      </w:r>
    </w:p>
    <w:p w:rsidR="0054013C" w:rsidRDefault="0054013C" w:rsidP="00F373B9">
      <w:pPr>
        <w:pStyle w:val="ConsPlusTitle"/>
        <w:widowControl/>
        <w:ind w:firstLine="708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- образование</w:t>
      </w:r>
      <w:r w:rsidR="00960DBF">
        <w:rPr>
          <w:b w:val="0"/>
          <w:bCs w:val="0"/>
          <w:sz w:val="28"/>
          <w:szCs w:val="28"/>
        </w:rPr>
        <w:t xml:space="preserve"> – 72</w:t>
      </w:r>
      <w:r w:rsidR="00F373B9">
        <w:rPr>
          <w:b w:val="0"/>
          <w:bCs w:val="0"/>
          <w:sz w:val="28"/>
          <w:szCs w:val="28"/>
        </w:rPr>
        <w:t> </w:t>
      </w:r>
      <w:r w:rsidR="00960DBF">
        <w:rPr>
          <w:b w:val="0"/>
          <w:bCs w:val="0"/>
          <w:sz w:val="28"/>
          <w:szCs w:val="28"/>
        </w:rPr>
        <w:t>закупки (17%</w:t>
      </w:r>
      <w:r w:rsidR="00960DBF" w:rsidRPr="00960DBF">
        <w:rPr>
          <w:b w:val="0"/>
          <w:bCs w:val="0"/>
          <w:sz w:val="28"/>
          <w:szCs w:val="28"/>
        </w:rPr>
        <w:t xml:space="preserve"> </w:t>
      </w:r>
      <w:r w:rsidR="00960DBF">
        <w:rPr>
          <w:b w:val="0"/>
          <w:bCs w:val="0"/>
          <w:sz w:val="28"/>
          <w:szCs w:val="28"/>
        </w:rPr>
        <w:t>от общего объема);</w:t>
      </w:r>
    </w:p>
    <w:p w:rsidR="0054013C" w:rsidRDefault="0054013C" w:rsidP="00F373B9">
      <w:pPr>
        <w:pStyle w:val="ConsPlusTitle"/>
        <w:widowControl/>
        <w:ind w:firstLine="708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- прочие (Администрация, КУИГ, </w:t>
      </w:r>
      <w:proofErr w:type="spellStart"/>
      <w:r>
        <w:rPr>
          <w:b w:val="0"/>
          <w:bCs w:val="0"/>
          <w:sz w:val="28"/>
          <w:szCs w:val="28"/>
        </w:rPr>
        <w:t>ДТиСР</w:t>
      </w:r>
      <w:proofErr w:type="spellEnd"/>
      <w:r>
        <w:rPr>
          <w:b w:val="0"/>
          <w:bCs w:val="0"/>
          <w:sz w:val="28"/>
          <w:szCs w:val="28"/>
        </w:rPr>
        <w:t>)</w:t>
      </w:r>
      <w:r w:rsidR="00F373B9">
        <w:rPr>
          <w:b w:val="0"/>
          <w:bCs w:val="0"/>
          <w:sz w:val="28"/>
          <w:szCs w:val="28"/>
        </w:rPr>
        <w:t xml:space="preserve"> –</w:t>
      </w:r>
      <w:r w:rsidR="00960DBF">
        <w:rPr>
          <w:b w:val="0"/>
          <w:bCs w:val="0"/>
          <w:sz w:val="28"/>
          <w:szCs w:val="28"/>
        </w:rPr>
        <w:t xml:space="preserve"> 27</w:t>
      </w:r>
      <w:r w:rsidR="00F373B9">
        <w:rPr>
          <w:b w:val="0"/>
          <w:bCs w:val="0"/>
          <w:sz w:val="28"/>
          <w:szCs w:val="28"/>
        </w:rPr>
        <w:t> </w:t>
      </w:r>
      <w:r w:rsidR="00960DBF">
        <w:rPr>
          <w:b w:val="0"/>
          <w:bCs w:val="0"/>
          <w:sz w:val="28"/>
          <w:szCs w:val="28"/>
        </w:rPr>
        <w:t>закупок (6%</w:t>
      </w:r>
      <w:r w:rsidR="00960DBF" w:rsidRPr="00960DBF">
        <w:rPr>
          <w:b w:val="0"/>
          <w:bCs w:val="0"/>
          <w:sz w:val="28"/>
          <w:szCs w:val="28"/>
        </w:rPr>
        <w:t xml:space="preserve"> </w:t>
      </w:r>
      <w:r w:rsidR="00960DBF">
        <w:rPr>
          <w:b w:val="0"/>
          <w:bCs w:val="0"/>
          <w:sz w:val="28"/>
          <w:szCs w:val="28"/>
        </w:rPr>
        <w:t>от общего объема).</w:t>
      </w:r>
    </w:p>
    <w:p w:rsidR="005E1C2B" w:rsidRPr="00B43105" w:rsidRDefault="00B43105" w:rsidP="00F373B9">
      <w:pPr>
        <w:pStyle w:val="ConsPlusTitle"/>
        <w:widowControl/>
        <w:ind w:firstLine="708"/>
        <w:jc w:val="both"/>
        <w:rPr>
          <w:b w:val="0"/>
          <w:bCs w:val="0"/>
          <w:i/>
          <w:sz w:val="28"/>
          <w:szCs w:val="28"/>
        </w:rPr>
      </w:pPr>
      <w:r w:rsidRPr="00B43105">
        <w:rPr>
          <w:b w:val="0"/>
          <w:i/>
          <w:sz w:val="28"/>
          <w:szCs w:val="28"/>
        </w:rPr>
        <w:t xml:space="preserve">Среднее число </w:t>
      </w:r>
      <w:r w:rsidR="00DE5C3F">
        <w:rPr>
          <w:b w:val="0"/>
          <w:i/>
          <w:sz w:val="28"/>
          <w:szCs w:val="28"/>
        </w:rPr>
        <w:t>участников</w:t>
      </w:r>
      <w:r w:rsidR="00DE5C3F" w:rsidRPr="00DE5C3F">
        <w:rPr>
          <w:b w:val="0"/>
          <w:bCs w:val="0"/>
          <w:sz w:val="28"/>
          <w:szCs w:val="28"/>
        </w:rPr>
        <w:t xml:space="preserve"> </w:t>
      </w:r>
      <w:r w:rsidR="00DE5C3F" w:rsidRPr="00FB78A9">
        <w:rPr>
          <w:b w:val="0"/>
          <w:bCs w:val="0"/>
          <w:i/>
          <w:sz w:val="28"/>
          <w:szCs w:val="28"/>
        </w:rPr>
        <w:t xml:space="preserve">размещения заказа, </w:t>
      </w:r>
      <w:r w:rsidR="00960DBF">
        <w:rPr>
          <w:b w:val="0"/>
          <w:i/>
          <w:sz w:val="28"/>
          <w:szCs w:val="28"/>
        </w:rPr>
        <w:t xml:space="preserve">подавших заявки на участие </w:t>
      </w:r>
      <w:r w:rsidRPr="00B43105">
        <w:rPr>
          <w:b w:val="0"/>
          <w:i/>
          <w:sz w:val="28"/>
          <w:szCs w:val="28"/>
        </w:rPr>
        <w:t xml:space="preserve"> в </w:t>
      </w:r>
      <w:r w:rsidR="00EB5BAE">
        <w:rPr>
          <w:b w:val="0"/>
          <w:i/>
          <w:sz w:val="28"/>
          <w:szCs w:val="28"/>
        </w:rPr>
        <w:t xml:space="preserve">аукционе </w:t>
      </w:r>
      <w:r>
        <w:rPr>
          <w:b w:val="0"/>
          <w:i/>
          <w:sz w:val="28"/>
          <w:szCs w:val="28"/>
        </w:rPr>
        <w:t>(конкурсе)</w:t>
      </w:r>
    </w:p>
    <w:p w:rsidR="0054013C" w:rsidRDefault="00FB78A9" w:rsidP="00F373B9">
      <w:pPr>
        <w:pStyle w:val="ConsPlusTitle"/>
        <w:widowControl/>
        <w:ind w:firstLine="708"/>
        <w:jc w:val="both"/>
        <w:rPr>
          <w:b w:val="0"/>
          <w:bCs w:val="0"/>
          <w:sz w:val="28"/>
          <w:szCs w:val="28"/>
        </w:rPr>
      </w:pPr>
      <w:r w:rsidRPr="00FB78A9">
        <w:rPr>
          <w:b w:val="0"/>
          <w:sz w:val="28"/>
          <w:szCs w:val="28"/>
        </w:rPr>
        <w:t>Среднее число</w:t>
      </w:r>
      <w:r w:rsidR="0054013C">
        <w:rPr>
          <w:b w:val="0"/>
          <w:bCs w:val="0"/>
          <w:sz w:val="28"/>
          <w:szCs w:val="28"/>
        </w:rPr>
        <w:t xml:space="preserve"> участников размещения заказа, подавших заявки на участие в торгах в 2012</w:t>
      </w:r>
      <w:r w:rsidR="00F373B9">
        <w:rPr>
          <w:b w:val="0"/>
          <w:bCs w:val="0"/>
          <w:sz w:val="28"/>
          <w:szCs w:val="28"/>
        </w:rPr>
        <w:t> </w:t>
      </w:r>
      <w:r w:rsidR="0054013C">
        <w:rPr>
          <w:b w:val="0"/>
          <w:bCs w:val="0"/>
          <w:sz w:val="28"/>
          <w:szCs w:val="28"/>
        </w:rPr>
        <w:t>году распределяется следующим образом:</w:t>
      </w:r>
    </w:p>
    <w:p w:rsidR="0054013C" w:rsidRDefault="0054013C" w:rsidP="00F373B9">
      <w:pPr>
        <w:pStyle w:val="ConsPlusTitle"/>
        <w:widowControl/>
        <w:ind w:firstLine="708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- здравоохранение </w:t>
      </w:r>
      <w:r w:rsidR="00DE5C3F">
        <w:rPr>
          <w:b w:val="0"/>
          <w:bCs w:val="0"/>
          <w:sz w:val="28"/>
          <w:szCs w:val="28"/>
        </w:rPr>
        <w:t>– 4,3</w:t>
      </w:r>
      <w:r w:rsidR="00EF3032">
        <w:rPr>
          <w:b w:val="0"/>
          <w:bCs w:val="0"/>
          <w:sz w:val="28"/>
          <w:szCs w:val="28"/>
        </w:rPr>
        <w:t>;</w:t>
      </w:r>
    </w:p>
    <w:p w:rsidR="0054013C" w:rsidRDefault="0054013C" w:rsidP="00F373B9">
      <w:pPr>
        <w:pStyle w:val="ConsPlusTitle"/>
        <w:widowControl/>
        <w:ind w:firstLine="708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- образование</w:t>
      </w:r>
      <w:r w:rsidR="00DE5C3F">
        <w:rPr>
          <w:b w:val="0"/>
          <w:bCs w:val="0"/>
          <w:sz w:val="28"/>
          <w:szCs w:val="28"/>
        </w:rPr>
        <w:t xml:space="preserve"> – 2,4</w:t>
      </w:r>
      <w:r w:rsidR="00EF3032">
        <w:rPr>
          <w:b w:val="0"/>
          <w:bCs w:val="0"/>
          <w:sz w:val="28"/>
          <w:szCs w:val="28"/>
        </w:rPr>
        <w:t>;</w:t>
      </w:r>
    </w:p>
    <w:p w:rsidR="0054013C" w:rsidRDefault="0054013C" w:rsidP="00F373B9">
      <w:pPr>
        <w:pStyle w:val="ConsPlusTitle"/>
        <w:widowControl/>
        <w:ind w:firstLine="708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- МКУ ДС и ГХ</w:t>
      </w:r>
      <w:r w:rsidR="00DE5C3F">
        <w:rPr>
          <w:b w:val="0"/>
          <w:bCs w:val="0"/>
          <w:sz w:val="28"/>
          <w:szCs w:val="28"/>
        </w:rPr>
        <w:t xml:space="preserve"> – 1,7</w:t>
      </w:r>
      <w:r w:rsidR="00EF3032">
        <w:rPr>
          <w:b w:val="0"/>
          <w:bCs w:val="0"/>
          <w:sz w:val="28"/>
          <w:szCs w:val="28"/>
        </w:rPr>
        <w:t>;</w:t>
      </w:r>
    </w:p>
    <w:p w:rsidR="0054013C" w:rsidRDefault="0054013C" w:rsidP="00F373B9">
      <w:pPr>
        <w:pStyle w:val="ConsPlusTitle"/>
        <w:widowControl/>
        <w:ind w:firstLine="708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- прочие (Администрация, КУИГ, ДТ</w:t>
      </w:r>
      <w:r w:rsidR="00EB5BAE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>и</w:t>
      </w:r>
      <w:r w:rsidR="00EB5BAE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>СР)</w:t>
      </w:r>
      <w:r w:rsidR="00DE5C3F">
        <w:rPr>
          <w:b w:val="0"/>
          <w:bCs w:val="0"/>
          <w:sz w:val="28"/>
          <w:szCs w:val="28"/>
        </w:rPr>
        <w:t xml:space="preserve"> – 1,55</w:t>
      </w:r>
      <w:r w:rsidR="00EF3032">
        <w:rPr>
          <w:b w:val="0"/>
          <w:bCs w:val="0"/>
          <w:sz w:val="28"/>
          <w:szCs w:val="28"/>
        </w:rPr>
        <w:t>.</w:t>
      </w:r>
    </w:p>
    <w:p w:rsidR="009760EE" w:rsidRDefault="002157F1" w:rsidP="00F373B9">
      <w:pPr>
        <w:pStyle w:val="ConsPlusTitle"/>
        <w:widowControl/>
        <w:ind w:firstLine="708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И</w:t>
      </w:r>
      <w:r w:rsidR="009760EE">
        <w:rPr>
          <w:b w:val="0"/>
          <w:bCs w:val="0"/>
          <w:sz w:val="28"/>
          <w:szCs w:val="28"/>
        </w:rPr>
        <w:t xml:space="preserve">з диаграммы следует, что </w:t>
      </w:r>
      <w:r w:rsidR="00FB78A9">
        <w:rPr>
          <w:b w:val="0"/>
          <w:bCs w:val="0"/>
          <w:sz w:val="28"/>
          <w:szCs w:val="28"/>
        </w:rPr>
        <w:t xml:space="preserve">наиболее </w:t>
      </w:r>
      <w:r w:rsidR="009760EE">
        <w:rPr>
          <w:b w:val="0"/>
          <w:bCs w:val="0"/>
          <w:sz w:val="28"/>
          <w:szCs w:val="28"/>
        </w:rPr>
        <w:t xml:space="preserve">конкурентными </w:t>
      </w:r>
      <w:r w:rsidR="00FB78A9">
        <w:rPr>
          <w:b w:val="0"/>
          <w:bCs w:val="0"/>
          <w:sz w:val="28"/>
          <w:szCs w:val="28"/>
        </w:rPr>
        <w:t xml:space="preserve">являются торги по здравоохранению. </w:t>
      </w:r>
      <w:r>
        <w:rPr>
          <w:b w:val="0"/>
          <w:bCs w:val="0"/>
          <w:sz w:val="28"/>
          <w:szCs w:val="28"/>
        </w:rPr>
        <w:t>В целях обеспечения эффективности использования бюджетных сре</w:t>
      </w:r>
      <w:proofErr w:type="gramStart"/>
      <w:r>
        <w:rPr>
          <w:b w:val="0"/>
          <w:bCs w:val="0"/>
          <w:sz w:val="28"/>
          <w:szCs w:val="28"/>
        </w:rPr>
        <w:t>дств пр</w:t>
      </w:r>
      <w:proofErr w:type="gramEnd"/>
      <w:r>
        <w:rPr>
          <w:b w:val="0"/>
          <w:bCs w:val="0"/>
          <w:sz w:val="28"/>
          <w:szCs w:val="28"/>
        </w:rPr>
        <w:t>едлагаем заказчикам провести анализ размещенных заказов, обеспечить в 2013</w:t>
      </w:r>
      <w:r w:rsidR="00F373B9">
        <w:rPr>
          <w:b w:val="0"/>
          <w:bCs w:val="0"/>
          <w:sz w:val="28"/>
          <w:szCs w:val="28"/>
        </w:rPr>
        <w:t> </w:t>
      </w:r>
      <w:r>
        <w:rPr>
          <w:b w:val="0"/>
          <w:bCs w:val="0"/>
          <w:sz w:val="28"/>
          <w:szCs w:val="28"/>
        </w:rPr>
        <w:t>году привлечение большего количества участников в торгах.</w:t>
      </w:r>
    </w:p>
    <w:p w:rsidR="00407B3C" w:rsidRDefault="00407B3C" w:rsidP="00F373B9">
      <w:pPr>
        <w:pStyle w:val="ConsPlusTitle"/>
        <w:widowControl/>
        <w:ind w:firstLine="708"/>
        <w:jc w:val="both"/>
        <w:rPr>
          <w:color w:val="000000" w:themeColor="text1"/>
          <w:sz w:val="28"/>
          <w:szCs w:val="28"/>
        </w:rPr>
      </w:pPr>
      <w:r w:rsidRPr="00FB78A9">
        <w:rPr>
          <w:b w:val="0"/>
          <w:bCs w:val="0"/>
          <w:i/>
          <w:sz w:val="28"/>
          <w:szCs w:val="28"/>
        </w:rPr>
        <w:t>Структура по способам размещения заказа за 9</w:t>
      </w:r>
      <w:r w:rsidR="00F373B9">
        <w:rPr>
          <w:b w:val="0"/>
          <w:bCs w:val="0"/>
          <w:i/>
          <w:sz w:val="28"/>
          <w:szCs w:val="28"/>
        </w:rPr>
        <w:t> </w:t>
      </w:r>
      <w:r w:rsidRPr="00FB78A9">
        <w:rPr>
          <w:b w:val="0"/>
          <w:bCs w:val="0"/>
          <w:i/>
          <w:sz w:val="28"/>
          <w:szCs w:val="28"/>
        </w:rPr>
        <w:t>месяцев 2012</w:t>
      </w:r>
      <w:r w:rsidR="00F373B9">
        <w:rPr>
          <w:b w:val="0"/>
          <w:bCs w:val="0"/>
          <w:i/>
          <w:sz w:val="28"/>
          <w:szCs w:val="28"/>
        </w:rPr>
        <w:t> </w:t>
      </w:r>
      <w:r w:rsidRPr="00FB78A9">
        <w:rPr>
          <w:b w:val="0"/>
          <w:bCs w:val="0"/>
          <w:i/>
          <w:sz w:val="28"/>
          <w:szCs w:val="28"/>
        </w:rPr>
        <w:t>года</w:t>
      </w:r>
    </w:p>
    <w:p w:rsidR="00407B3C" w:rsidRPr="00B95039" w:rsidRDefault="00407B3C" w:rsidP="00F373B9">
      <w:pPr>
        <w:pStyle w:val="ConsPlusTitle"/>
        <w:widowControl/>
        <w:ind w:firstLine="708"/>
        <w:jc w:val="both"/>
        <w:rPr>
          <w:b w:val="0"/>
          <w:color w:val="000000" w:themeColor="text1"/>
          <w:sz w:val="28"/>
          <w:szCs w:val="28"/>
        </w:rPr>
      </w:pPr>
      <w:r w:rsidRPr="00B95039">
        <w:rPr>
          <w:b w:val="0"/>
          <w:color w:val="000000" w:themeColor="text1"/>
          <w:sz w:val="28"/>
          <w:szCs w:val="28"/>
        </w:rPr>
        <w:t>В соответствии со статьей 10</w:t>
      </w:r>
      <w:r w:rsidR="00F373B9">
        <w:rPr>
          <w:b w:val="0"/>
          <w:color w:val="000000" w:themeColor="text1"/>
          <w:sz w:val="28"/>
          <w:szCs w:val="28"/>
        </w:rPr>
        <w:t> </w:t>
      </w:r>
      <w:r w:rsidRPr="00B95039">
        <w:rPr>
          <w:b w:val="0"/>
          <w:color w:val="000000" w:themeColor="text1"/>
          <w:sz w:val="28"/>
          <w:szCs w:val="28"/>
        </w:rPr>
        <w:t>Федерального закона №</w:t>
      </w:r>
      <w:r w:rsidR="00F373B9">
        <w:rPr>
          <w:b w:val="0"/>
          <w:color w:val="000000" w:themeColor="text1"/>
          <w:sz w:val="28"/>
          <w:szCs w:val="28"/>
        </w:rPr>
        <w:t> </w:t>
      </w:r>
      <w:r w:rsidRPr="00B95039">
        <w:rPr>
          <w:b w:val="0"/>
          <w:color w:val="000000" w:themeColor="text1"/>
          <w:sz w:val="28"/>
          <w:szCs w:val="28"/>
        </w:rPr>
        <w:t>94</w:t>
      </w:r>
      <w:r>
        <w:rPr>
          <w:b w:val="0"/>
          <w:color w:val="000000" w:themeColor="text1"/>
          <w:sz w:val="28"/>
          <w:szCs w:val="28"/>
        </w:rPr>
        <w:t>-</w:t>
      </w:r>
      <w:r w:rsidRPr="00B95039">
        <w:rPr>
          <w:b w:val="0"/>
          <w:color w:val="000000" w:themeColor="text1"/>
          <w:sz w:val="28"/>
          <w:szCs w:val="28"/>
        </w:rPr>
        <w:t>ФЗ приоритетным</w:t>
      </w:r>
      <w:r>
        <w:rPr>
          <w:b w:val="0"/>
          <w:color w:val="000000" w:themeColor="text1"/>
          <w:sz w:val="28"/>
          <w:szCs w:val="28"/>
        </w:rPr>
        <w:t>и способами</w:t>
      </w:r>
      <w:r w:rsidRPr="00B95039">
        <w:rPr>
          <w:b w:val="0"/>
          <w:color w:val="000000" w:themeColor="text1"/>
          <w:sz w:val="28"/>
          <w:szCs w:val="28"/>
        </w:rPr>
        <w:t xml:space="preserve"> размещения заказа</w:t>
      </w:r>
      <w:r>
        <w:rPr>
          <w:b w:val="0"/>
          <w:color w:val="000000" w:themeColor="text1"/>
          <w:sz w:val="28"/>
          <w:szCs w:val="28"/>
        </w:rPr>
        <w:t xml:space="preserve"> являются торги.</w:t>
      </w:r>
    </w:p>
    <w:p w:rsidR="00F373B9" w:rsidRDefault="00407B3C" w:rsidP="00F373B9">
      <w:pPr>
        <w:pStyle w:val="ConsPlusTitle"/>
        <w:widowControl/>
        <w:ind w:firstLine="708"/>
        <w:jc w:val="both"/>
        <w:rPr>
          <w:b w:val="0"/>
          <w:color w:val="000000" w:themeColor="text1"/>
          <w:sz w:val="28"/>
          <w:szCs w:val="28"/>
        </w:rPr>
      </w:pPr>
      <w:proofErr w:type="gramStart"/>
      <w:r>
        <w:rPr>
          <w:b w:val="0"/>
          <w:color w:val="000000" w:themeColor="text1"/>
          <w:sz w:val="28"/>
          <w:szCs w:val="28"/>
        </w:rPr>
        <w:t xml:space="preserve">Исходя из отчета, предоставленного заказчиками за </w:t>
      </w:r>
      <w:r w:rsidRPr="00FB78A9">
        <w:rPr>
          <w:b w:val="0"/>
          <w:color w:val="000000" w:themeColor="text1"/>
          <w:sz w:val="28"/>
          <w:szCs w:val="28"/>
        </w:rPr>
        <w:t>9</w:t>
      </w:r>
      <w:r w:rsidR="00F373B9">
        <w:rPr>
          <w:b w:val="0"/>
          <w:color w:val="000000" w:themeColor="text1"/>
          <w:sz w:val="28"/>
          <w:szCs w:val="28"/>
        </w:rPr>
        <w:t> </w:t>
      </w:r>
      <w:r w:rsidRPr="00FB78A9">
        <w:rPr>
          <w:b w:val="0"/>
          <w:color w:val="000000" w:themeColor="text1"/>
          <w:sz w:val="28"/>
          <w:szCs w:val="28"/>
        </w:rPr>
        <w:t>месяцев 2012</w:t>
      </w:r>
      <w:r w:rsidR="00F373B9">
        <w:rPr>
          <w:b w:val="0"/>
          <w:color w:val="000000" w:themeColor="text1"/>
          <w:sz w:val="28"/>
          <w:szCs w:val="28"/>
        </w:rPr>
        <w:t> </w:t>
      </w:r>
      <w:r w:rsidRPr="00FB78A9">
        <w:rPr>
          <w:b w:val="0"/>
          <w:color w:val="000000" w:themeColor="text1"/>
          <w:sz w:val="28"/>
          <w:szCs w:val="28"/>
        </w:rPr>
        <w:t xml:space="preserve">основная доля заказов </w:t>
      </w:r>
      <w:r>
        <w:rPr>
          <w:b w:val="0"/>
          <w:color w:val="000000" w:themeColor="text1"/>
          <w:sz w:val="28"/>
          <w:szCs w:val="28"/>
        </w:rPr>
        <w:t>по объему финансирования 573</w:t>
      </w:r>
      <w:r w:rsidR="00F373B9">
        <w:rPr>
          <w:b w:val="0"/>
          <w:color w:val="000000" w:themeColor="text1"/>
          <w:sz w:val="28"/>
          <w:szCs w:val="28"/>
        </w:rPr>
        <w:t> </w:t>
      </w:r>
      <w:r>
        <w:rPr>
          <w:b w:val="0"/>
          <w:color w:val="000000" w:themeColor="text1"/>
          <w:sz w:val="28"/>
          <w:szCs w:val="28"/>
        </w:rPr>
        <w:t>млн.</w:t>
      </w:r>
      <w:r w:rsidR="00F373B9">
        <w:rPr>
          <w:b w:val="0"/>
          <w:color w:val="000000" w:themeColor="text1"/>
          <w:sz w:val="28"/>
          <w:szCs w:val="28"/>
        </w:rPr>
        <w:t> </w:t>
      </w:r>
      <w:r>
        <w:rPr>
          <w:b w:val="0"/>
          <w:color w:val="000000" w:themeColor="text1"/>
          <w:sz w:val="28"/>
          <w:szCs w:val="28"/>
        </w:rPr>
        <w:t xml:space="preserve">рублей </w:t>
      </w:r>
      <w:r w:rsidRPr="00FB78A9">
        <w:rPr>
          <w:b w:val="0"/>
          <w:color w:val="000000" w:themeColor="text1"/>
          <w:sz w:val="28"/>
          <w:szCs w:val="28"/>
        </w:rPr>
        <w:t xml:space="preserve">(65,5%) приходится на открытые аукционы в электронной форме, </w:t>
      </w:r>
      <w:r>
        <w:rPr>
          <w:b w:val="0"/>
          <w:color w:val="000000" w:themeColor="text1"/>
          <w:sz w:val="28"/>
          <w:szCs w:val="28"/>
        </w:rPr>
        <w:t>193</w:t>
      </w:r>
      <w:r w:rsidR="00F373B9">
        <w:rPr>
          <w:b w:val="0"/>
          <w:color w:val="000000" w:themeColor="text1"/>
          <w:sz w:val="28"/>
          <w:szCs w:val="28"/>
        </w:rPr>
        <w:t> </w:t>
      </w:r>
      <w:r>
        <w:rPr>
          <w:b w:val="0"/>
          <w:color w:val="000000" w:themeColor="text1"/>
          <w:sz w:val="28"/>
          <w:szCs w:val="28"/>
        </w:rPr>
        <w:t>млн.</w:t>
      </w:r>
      <w:r w:rsidR="00F373B9">
        <w:rPr>
          <w:b w:val="0"/>
          <w:color w:val="000000" w:themeColor="text1"/>
          <w:sz w:val="28"/>
          <w:szCs w:val="28"/>
        </w:rPr>
        <w:t> </w:t>
      </w:r>
      <w:r>
        <w:rPr>
          <w:b w:val="0"/>
          <w:color w:val="000000" w:themeColor="text1"/>
          <w:sz w:val="28"/>
          <w:szCs w:val="28"/>
        </w:rPr>
        <w:t>рублей (</w:t>
      </w:r>
      <w:r w:rsidRPr="00FB78A9">
        <w:rPr>
          <w:b w:val="0"/>
          <w:color w:val="000000" w:themeColor="text1"/>
          <w:sz w:val="28"/>
          <w:szCs w:val="28"/>
        </w:rPr>
        <w:t>22%</w:t>
      </w:r>
      <w:r>
        <w:rPr>
          <w:b w:val="0"/>
          <w:color w:val="000000" w:themeColor="text1"/>
          <w:sz w:val="28"/>
          <w:szCs w:val="28"/>
        </w:rPr>
        <w:t>) от</w:t>
      </w:r>
      <w:r w:rsidRPr="00FB78A9">
        <w:rPr>
          <w:b w:val="0"/>
          <w:color w:val="000000" w:themeColor="text1"/>
          <w:sz w:val="28"/>
          <w:szCs w:val="28"/>
        </w:rPr>
        <w:t xml:space="preserve"> всех размещенных закупок составили </w:t>
      </w:r>
      <w:r>
        <w:rPr>
          <w:b w:val="0"/>
          <w:color w:val="000000" w:themeColor="text1"/>
          <w:sz w:val="28"/>
          <w:szCs w:val="28"/>
        </w:rPr>
        <w:t>закупки до 100</w:t>
      </w:r>
      <w:r w:rsidR="00F373B9">
        <w:rPr>
          <w:b w:val="0"/>
          <w:color w:val="000000" w:themeColor="text1"/>
          <w:sz w:val="28"/>
          <w:szCs w:val="28"/>
        </w:rPr>
        <w:t> </w:t>
      </w:r>
      <w:r>
        <w:rPr>
          <w:b w:val="0"/>
          <w:color w:val="000000" w:themeColor="text1"/>
          <w:sz w:val="28"/>
          <w:szCs w:val="28"/>
        </w:rPr>
        <w:t>тыс.</w:t>
      </w:r>
      <w:r w:rsidR="00F373B9">
        <w:rPr>
          <w:b w:val="0"/>
          <w:color w:val="000000" w:themeColor="text1"/>
          <w:sz w:val="28"/>
          <w:szCs w:val="28"/>
        </w:rPr>
        <w:t> </w:t>
      </w:r>
      <w:r>
        <w:rPr>
          <w:b w:val="0"/>
          <w:color w:val="000000" w:themeColor="text1"/>
          <w:sz w:val="28"/>
          <w:szCs w:val="28"/>
        </w:rPr>
        <w:t>рублей, способом запроса</w:t>
      </w:r>
      <w:r w:rsidRPr="00FB78A9">
        <w:rPr>
          <w:b w:val="0"/>
          <w:color w:val="000000" w:themeColor="text1"/>
          <w:sz w:val="28"/>
          <w:szCs w:val="28"/>
        </w:rPr>
        <w:t xml:space="preserve"> котировок</w:t>
      </w:r>
      <w:r>
        <w:rPr>
          <w:b w:val="0"/>
          <w:color w:val="000000" w:themeColor="text1"/>
          <w:sz w:val="28"/>
          <w:szCs w:val="28"/>
        </w:rPr>
        <w:t xml:space="preserve"> размещено заказов на сумму 105</w:t>
      </w:r>
      <w:r w:rsidR="00F373B9">
        <w:rPr>
          <w:b w:val="0"/>
          <w:color w:val="000000" w:themeColor="text1"/>
          <w:sz w:val="28"/>
          <w:szCs w:val="28"/>
        </w:rPr>
        <w:t> млн. </w:t>
      </w:r>
      <w:r>
        <w:rPr>
          <w:b w:val="0"/>
          <w:color w:val="000000" w:themeColor="text1"/>
          <w:sz w:val="28"/>
          <w:szCs w:val="28"/>
        </w:rPr>
        <w:t>рублей (12%)</w:t>
      </w:r>
      <w:r w:rsidRPr="00FB78A9">
        <w:rPr>
          <w:b w:val="0"/>
          <w:color w:val="000000" w:themeColor="text1"/>
          <w:sz w:val="28"/>
          <w:szCs w:val="28"/>
        </w:rPr>
        <w:t xml:space="preserve">, </w:t>
      </w:r>
      <w:r>
        <w:rPr>
          <w:b w:val="0"/>
          <w:color w:val="000000" w:themeColor="text1"/>
          <w:sz w:val="28"/>
          <w:szCs w:val="28"/>
        </w:rPr>
        <w:t>открытым</w:t>
      </w:r>
      <w:r w:rsidRPr="00FB78A9">
        <w:rPr>
          <w:b w:val="0"/>
          <w:color w:val="000000" w:themeColor="text1"/>
          <w:sz w:val="28"/>
          <w:szCs w:val="28"/>
        </w:rPr>
        <w:t xml:space="preserve"> конкурс</w:t>
      </w:r>
      <w:r>
        <w:rPr>
          <w:b w:val="0"/>
          <w:color w:val="000000" w:themeColor="text1"/>
          <w:sz w:val="28"/>
          <w:szCs w:val="28"/>
        </w:rPr>
        <w:t>ом</w:t>
      </w:r>
      <w:r w:rsidRPr="00FB78A9">
        <w:rPr>
          <w:b w:val="0"/>
          <w:color w:val="000000" w:themeColor="text1"/>
          <w:sz w:val="28"/>
          <w:szCs w:val="28"/>
        </w:rPr>
        <w:t xml:space="preserve"> </w:t>
      </w:r>
      <w:r>
        <w:rPr>
          <w:b w:val="0"/>
          <w:color w:val="000000" w:themeColor="text1"/>
          <w:sz w:val="28"/>
          <w:szCs w:val="28"/>
        </w:rPr>
        <w:t>– 4</w:t>
      </w:r>
      <w:r w:rsidR="00F373B9">
        <w:rPr>
          <w:b w:val="0"/>
          <w:color w:val="000000" w:themeColor="text1"/>
          <w:sz w:val="28"/>
          <w:szCs w:val="28"/>
        </w:rPr>
        <w:t> </w:t>
      </w:r>
      <w:r>
        <w:rPr>
          <w:b w:val="0"/>
          <w:color w:val="000000" w:themeColor="text1"/>
          <w:sz w:val="28"/>
          <w:szCs w:val="28"/>
        </w:rPr>
        <w:t>млн.</w:t>
      </w:r>
      <w:r w:rsidR="00F373B9">
        <w:rPr>
          <w:b w:val="0"/>
          <w:color w:val="000000" w:themeColor="text1"/>
          <w:sz w:val="28"/>
          <w:szCs w:val="28"/>
        </w:rPr>
        <w:t> </w:t>
      </w:r>
      <w:r>
        <w:rPr>
          <w:b w:val="0"/>
          <w:color w:val="000000" w:themeColor="text1"/>
          <w:sz w:val="28"/>
          <w:szCs w:val="28"/>
        </w:rPr>
        <w:t>рублей (0,5%).</w:t>
      </w:r>
      <w:proofErr w:type="gramEnd"/>
      <w:r>
        <w:rPr>
          <w:b w:val="0"/>
          <w:color w:val="000000" w:themeColor="text1"/>
          <w:sz w:val="28"/>
          <w:szCs w:val="28"/>
        </w:rPr>
        <w:t xml:space="preserve"> При этом необходимо отметить, что немалая доля заказов, размещается неконкурентным способом.</w:t>
      </w:r>
    </w:p>
    <w:p w:rsidR="00407B3C" w:rsidRPr="00F373B9" w:rsidRDefault="00407B3C" w:rsidP="00F373B9">
      <w:pPr>
        <w:pStyle w:val="ConsPlusTitle"/>
        <w:widowControl/>
        <w:ind w:firstLine="708"/>
        <w:jc w:val="both"/>
        <w:rPr>
          <w:b w:val="0"/>
          <w:bCs w:val="0"/>
          <w:i/>
          <w:sz w:val="28"/>
          <w:szCs w:val="28"/>
        </w:rPr>
      </w:pPr>
      <w:r w:rsidRPr="00F373B9">
        <w:rPr>
          <w:b w:val="0"/>
          <w:sz w:val="28"/>
          <w:szCs w:val="28"/>
        </w:rPr>
        <w:t>В целях эффективного использования бюджетных средств и повышения уровня конкуренции в 2013</w:t>
      </w:r>
      <w:r w:rsidR="00F373B9">
        <w:rPr>
          <w:b w:val="0"/>
          <w:sz w:val="28"/>
          <w:szCs w:val="28"/>
        </w:rPr>
        <w:t> </w:t>
      </w:r>
      <w:r w:rsidRPr="00F373B9">
        <w:rPr>
          <w:b w:val="0"/>
          <w:sz w:val="28"/>
          <w:szCs w:val="28"/>
        </w:rPr>
        <w:t xml:space="preserve">году рекомендуем заказчикам обеспечить размещение заказа на закупку товаров, выполнении работ, оказание услуг преимущественно путем проведения торгов в форме конкурсов и аукционов. </w:t>
      </w:r>
    </w:p>
    <w:p w:rsidR="009760EE" w:rsidRDefault="00A44EE4" w:rsidP="00F373B9">
      <w:pPr>
        <w:pStyle w:val="ConsPlusTitle"/>
        <w:widowControl/>
        <w:ind w:firstLine="708"/>
        <w:jc w:val="both"/>
        <w:rPr>
          <w:b w:val="0"/>
          <w:bCs w:val="0"/>
          <w:sz w:val="28"/>
          <w:szCs w:val="28"/>
        </w:rPr>
      </w:pPr>
      <w:r w:rsidRPr="00EF3032">
        <w:rPr>
          <w:b w:val="0"/>
          <w:bCs w:val="0"/>
          <w:i/>
          <w:sz w:val="28"/>
          <w:szCs w:val="28"/>
        </w:rPr>
        <w:t>Жалобы</w:t>
      </w:r>
      <w:r w:rsidR="00FB78A9" w:rsidRPr="00EF3032">
        <w:rPr>
          <w:b w:val="0"/>
          <w:bCs w:val="0"/>
          <w:i/>
          <w:sz w:val="28"/>
          <w:szCs w:val="28"/>
        </w:rPr>
        <w:t>, рассмотренные</w:t>
      </w:r>
      <w:r w:rsidRPr="00EF3032">
        <w:rPr>
          <w:b w:val="0"/>
          <w:bCs w:val="0"/>
          <w:i/>
          <w:sz w:val="28"/>
          <w:szCs w:val="28"/>
        </w:rPr>
        <w:t xml:space="preserve"> УФАС</w:t>
      </w:r>
      <w:r w:rsidR="00EF3032">
        <w:rPr>
          <w:b w:val="0"/>
          <w:bCs w:val="0"/>
          <w:i/>
          <w:sz w:val="28"/>
          <w:szCs w:val="28"/>
        </w:rPr>
        <w:t>.</w:t>
      </w:r>
    </w:p>
    <w:p w:rsidR="00336E0C" w:rsidRPr="00336E0C" w:rsidRDefault="00336E0C" w:rsidP="00F373B9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36E0C">
        <w:rPr>
          <w:rFonts w:ascii="Times New Roman" w:hAnsi="Times New Roman"/>
          <w:color w:val="000000" w:themeColor="text1"/>
          <w:sz w:val="28"/>
          <w:szCs w:val="28"/>
        </w:rPr>
        <w:t>Общее количество жалоб рассмотренных Ростовским УФАС России с участием Управления по муниципальному заказу города Волгодонска в 2011</w:t>
      </w:r>
      <w:r w:rsidR="00F373B9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336E0C">
        <w:rPr>
          <w:rFonts w:ascii="Times New Roman" w:hAnsi="Times New Roman"/>
          <w:color w:val="000000" w:themeColor="text1"/>
          <w:sz w:val="28"/>
          <w:szCs w:val="28"/>
        </w:rPr>
        <w:t>г. и в 2012</w:t>
      </w:r>
      <w:r w:rsidR="00F373B9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336E0C">
        <w:rPr>
          <w:rFonts w:ascii="Times New Roman" w:hAnsi="Times New Roman"/>
          <w:color w:val="000000" w:themeColor="text1"/>
          <w:sz w:val="28"/>
          <w:szCs w:val="28"/>
        </w:rPr>
        <w:t>г. составляло 11 и 12</w:t>
      </w:r>
      <w:r w:rsidR="00F373B9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336E0C">
        <w:rPr>
          <w:rFonts w:ascii="Times New Roman" w:hAnsi="Times New Roman"/>
          <w:color w:val="000000" w:themeColor="text1"/>
          <w:sz w:val="28"/>
          <w:szCs w:val="28"/>
        </w:rPr>
        <w:t>соответственно.</w:t>
      </w:r>
    </w:p>
    <w:p w:rsidR="00336E0C" w:rsidRPr="00336E0C" w:rsidRDefault="00336E0C" w:rsidP="00F373B9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36E0C">
        <w:rPr>
          <w:rFonts w:ascii="Times New Roman" w:hAnsi="Times New Roman"/>
          <w:color w:val="000000" w:themeColor="text1"/>
          <w:sz w:val="28"/>
          <w:szCs w:val="28"/>
        </w:rPr>
        <w:t>Количество жалоб признанных необоснованными в 2011</w:t>
      </w:r>
      <w:r w:rsidR="00F373B9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336E0C">
        <w:rPr>
          <w:rFonts w:ascii="Times New Roman" w:hAnsi="Times New Roman"/>
          <w:color w:val="000000" w:themeColor="text1"/>
          <w:sz w:val="28"/>
          <w:szCs w:val="28"/>
        </w:rPr>
        <w:t>году составило 6</w:t>
      </w:r>
      <w:r w:rsidR="00F373B9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336E0C">
        <w:rPr>
          <w:rFonts w:ascii="Times New Roman" w:hAnsi="Times New Roman"/>
          <w:color w:val="000000" w:themeColor="text1"/>
          <w:sz w:val="28"/>
          <w:szCs w:val="28"/>
        </w:rPr>
        <w:t xml:space="preserve">шт., что соответствует 55% от общего количества жалоб за соответствующий год, </w:t>
      </w:r>
      <w:r w:rsidR="00F373B9">
        <w:rPr>
          <w:rFonts w:ascii="Times New Roman" w:hAnsi="Times New Roman"/>
          <w:color w:val="000000" w:themeColor="text1"/>
          <w:sz w:val="28"/>
          <w:szCs w:val="28"/>
        </w:rPr>
        <w:t>в 2012 </w:t>
      </w:r>
      <w:r w:rsidRPr="00336E0C">
        <w:rPr>
          <w:rFonts w:ascii="Times New Roman" w:hAnsi="Times New Roman"/>
          <w:color w:val="000000" w:themeColor="text1"/>
          <w:sz w:val="28"/>
          <w:szCs w:val="28"/>
        </w:rPr>
        <w:t>году – 10</w:t>
      </w:r>
      <w:r w:rsidR="00F373B9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336E0C">
        <w:rPr>
          <w:rFonts w:ascii="Times New Roman" w:hAnsi="Times New Roman"/>
          <w:color w:val="000000" w:themeColor="text1"/>
          <w:sz w:val="28"/>
          <w:szCs w:val="28"/>
        </w:rPr>
        <w:t>шт., что соответствует 83% от общего количества жалоб за соответствующий год.</w:t>
      </w:r>
    </w:p>
    <w:p w:rsidR="00336E0C" w:rsidRPr="00336E0C" w:rsidRDefault="00336E0C" w:rsidP="00F373B9">
      <w:pPr>
        <w:spacing w:after="0" w:line="240" w:lineRule="auto"/>
        <w:ind w:firstLine="708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336E0C">
        <w:rPr>
          <w:rFonts w:ascii="Times New Roman" w:hAnsi="Times New Roman"/>
          <w:color w:val="000000" w:themeColor="text1"/>
          <w:sz w:val="28"/>
          <w:szCs w:val="28"/>
        </w:rPr>
        <w:t>В 2012</w:t>
      </w:r>
      <w:r w:rsidR="00F373B9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336E0C">
        <w:rPr>
          <w:rFonts w:ascii="Times New Roman" w:hAnsi="Times New Roman"/>
          <w:color w:val="000000" w:themeColor="text1"/>
          <w:sz w:val="28"/>
          <w:szCs w:val="28"/>
        </w:rPr>
        <w:t>году количество жалоб, признанных необоснованными имеют тенденцию увеличения. Так, количество жалоб признанных необоснованными в 2012</w:t>
      </w:r>
      <w:r w:rsidR="00F373B9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336E0C">
        <w:rPr>
          <w:rFonts w:ascii="Times New Roman" w:hAnsi="Times New Roman"/>
          <w:color w:val="000000" w:themeColor="text1"/>
          <w:sz w:val="28"/>
          <w:szCs w:val="28"/>
        </w:rPr>
        <w:t>году увеличилось по сравнению с 2011</w:t>
      </w:r>
      <w:r w:rsidR="00F373B9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336E0C">
        <w:rPr>
          <w:rFonts w:ascii="Times New Roman" w:hAnsi="Times New Roman"/>
          <w:color w:val="000000" w:themeColor="text1"/>
          <w:sz w:val="28"/>
          <w:szCs w:val="28"/>
        </w:rPr>
        <w:t>годом практически в 2</w:t>
      </w:r>
      <w:r w:rsidR="00F373B9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336E0C">
        <w:rPr>
          <w:rFonts w:ascii="Times New Roman" w:hAnsi="Times New Roman"/>
          <w:color w:val="000000" w:themeColor="text1"/>
          <w:sz w:val="28"/>
          <w:szCs w:val="28"/>
        </w:rPr>
        <w:t>раза.</w:t>
      </w:r>
    </w:p>
    <w:p w:rsidR="00336E0C" w:rsidRPr="00336E0C" w:rsidRDefault="00336E0C" w:rsidP="00F373B9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36E0C">
        <w:rPr>
          <w:rFonts w:ascii="Times New Roman" w:hAnsi="Times New Roman"/>
          <w:color w:val="000000" w:themeColor="text1"/>
          <w:sz w:val="28"/>
          <w:szCs w:val="28"/>
        </w:rPr>
        <w:lastRenderedPageBreak/>
        <w:t>Количество жалоб признанных обоснованными в 2011</w:t>
      </w:r>
      <w:r w:rsidR="00F373B9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336E0C">
        <w:rPr>
          <w:rFonts w:ascii="Times New Roman" w:hAnsi="Times New Roman"/>
          <w:color w:val="000000" w:themeColor="text1"/>
          <w:sz w:val="28"/>
          <w:szCs w:val="28"/>
        </w:rPr>
        <w:t>году составило 3</w:t>
      </w:r>
      <w:r w:rsidR="00F373B9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336E0C">
        <w:rPr>
          <w:rFonts w:ascii="Times New Roman" w:hAnsi="Times New Roman"/>
          <w:color w:val="000000" w:themeColor="text1"/>
          <w:sz w:val="28"/>
          <w:szCs w:val="28"/>
        </w:rPr>
        <w:t>шт., что соответствует 27% от общего количества жалоб за соответствующий год, в 2012</w:t>
      </w:r>
      <w:r w:rsidR="00F373B9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336E0C">
        <w:rPr>
          <w:rFonts w:ascii="Times New Roman" w:hAnsi="Times New Roman"/>
          <w:color w:val="000000" w:themeColor="text1"/>
          <w:sz w:val="28"/>
          <w:szCs w:val="28"/>
        </w:rPr>
        <w:t>году – 1</w:t>
      </w:r>
      <w:r w:rsidR="00F373B9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336E0C">
        <w:rPr>
          <w:rFonts w:ascii="Times New Roman" w:hAnsi="Times New Roman"/>
          <w:color w:val="000000" w:themeColor="text1"/>
          <w:sz w:val="28"/>
          <w:szCs w:val="28"/>
        </w:rPr>
        <w:t>шт., что соответствует 9% от общего количества жалоб за соответствующий год.</w:t>
      </w:r>
    </w:p>
    <w:p w:rsidR="00336E0C" w:rsidRPr="00336E0C" w:rsidRDefault="00336E0C" w:rsidP="00F373B9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36E0C">
        <w:rPr>
          <w:rFonts w:ascii="Times New Roman" w:hAnsi="Times New Roman"/>
          <w:color w:val="000000" w:themeColor="text1"/>
          <w:sz w:val="28"/>
          <w:szCs w:val="28"/>
        </w:rPr>
        <w:t>Соответственно, наблюдается тенденция снижения жалоб признанных обоснованными. Так, количество жалоб признанных обоснованными в 2012</w:t>
      </w:r>
      <w:r w:rsidR="00F373B9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336E0C">
        <w:rPr>
          <w:rFonts w:ascii="Times New Roman" w:hAnsi="Times New Roman"/>
          <w:color w:val="000000" w:themeColor="text1"/>
          <w:sz w:val="28"/>
          <w:szCs w:val="28"/>
        </w:rPr>
        <w:t>году снизилось по сравнению с 2011</w:t>
      </w:r>
      <w:r w:rsidR="00F373B9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336E0C">
        <w:rPr>
          <w:rFonts w:ascii="Times New Roman" w:hAnsi="Times New Roman"/>
          <w:color w:val="000000" w:themeColor="text1"/>
          <w:sz w:val="28"/>
          <w:szCs w:val="28"/>
        </w:rPr>
        <w:t>годом в 1,4</w:t>
      </w:r>
      <w:r w:rsidR="00F373B9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336E0C">
        <w:rPr>
          <w:rFonts w:ascii="Times New Roman" w:hAnsi="Times New Roman"/>
          <w:color w:val="000000" w:themeColor="text1"/>
          <w:sz w:val="28"/>
          <w:szCs w:val="28"/>
        </w:rPr>
        <w:t>раза и составило 1</w:t>
      </w:r>
      <w:r w:rsidR="00F373B9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336E0C">
        <w:rPr>
          <w:rFonts w:ascii="Times New Roman" w:hAnsi="Times New Roman"/>
          <w:color w:val="000000" w:themeColor="text1"/>
          <w:sz w:val="28"/>
          <w:szCs w:val="28"/>
        </w:rPr>
        <w:t>жалобу.</w:t>
      </w:r>
    </w:p>
    <w:p w:rsidR="00336E0C" w:rsidRPr="00336E0C" w:rsidRDefault="00336E0C" w:rsidP="00F373B9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36E0C">
        <w:rPr>
          <w:rFonts w:ascii="Times New Roman" w:hAnsi="Times New Roman"/>
          <w:color w:val="000000" w:themeColor="text1"/>
          <w:sz w:val="28"/>
          <w:szCs w:val="28"/>
        </w:rPr>
        <w:t>Количество жалоб признанных частично обоснованными в 2011</w:t>
      </w:r>
      <w:r w:rsidR="00F373B9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336E0C">
        <w:rPr>
          <w:rFonts w:ascii="Times New Roman" w:hAnsi="Times New Roman"/>
          <w:color w:val="000000" w:themeColor="text1"/>
          <w:sz w:val="28"/>
          <w:szCs w:val="28"/>
        </w:rPr>
        <w:t>году составляет 2</w:t>
      </w:r>
      <w:r w:rsidR="00F373B9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336E0C">
        <w:rPr>
          <w:rFonts w:ascii="Times New Roman" w:hAnsi="Times New Roman"/>
          <w:color w:val="000000" w:themeColor="text1"/>
          <w:sz w:val="28"/>
          <w:szCs w:val="28"/>
        </w:rPr>
        <w:t>шт., что соответствует 18 % от общего количества жалоб за соответствующий год, в 2012</w:t>
      </w:r>
      <w:r w:rsidR="00F373B9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336E0C">
        <w:rPr>
          <w:rFonts w:ascii="Times New Roman" w:hAnsi="Times New Roman"/>
          <w:color w:val="000000" w:themeColor="text1"/>
          <w:sz w:val="28"/>
          <w:szCs w:val="28"/>
        </w:rPr>
        <w:t>году наличие таких жалоб отсутствует.</w:t>
      </w:r>
    </w:p>
    <w:p w:rsidR="00336E0C" w:rsidRPr="00336E0C" w:rsidRDefault="00336E0C" w:rsidP="00F373B9">
      <w:pPr>
        <w:spacing w:after="0" w:line="240" w:lineRule="auto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36E0C">
        <w:rPr>
          <w:rFonts w:ascii="Times New Roman" w:hAnsi="Times New Roman"/>
          <w:color w:val="000000" w:themeColor="text1"/>
          <w:sz w:val="28"/>
          <w:szCs w:val="28"/>
        </w:rPr>
        <w:t>В 2012</w:t>
      </w:r>
      <w:r w:rsidR="00F373B9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336E0C">
        <w:rPr>
          <w:rFonts w:ascii="Times New Roman" w:hAnsi="Times New Roman"/>
          <w:color w:val="000000" w:themeColor="text1"/>
          <w:sz w:val="28"/>
          <w:szCs w:val="28"/>
        </w:rPr>
        <w:t>году количество жалоб находящихся на стадии рассмотрения Ростовским УФАС России с участием Управления по муниципальному заказу города Волгодонска составило 1</w:t>
      </w:r>
      <w:r w:rsidR="00F373B9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336E0C">
        <w:rPr>
          <w:rFonts w:ascii="Times New Roman" w:hAnsi="Times New Roman"/>
          <w:color w:val="000000" w:themeColor="text1"/>
          <w:sz w:val="28"/>
          <w:szCs w:val="28"/>
        </w:rPr>
        <w:t>шт., что соответствует 8% от общего количества жалоб за соответствующий год.</w:t>
      </w:r>
    </w:p>
    <w:p w:rsidR="00407B3C" w:rsidRDefault="00407B3C" w:rsidP="00F373B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2012</w:t>
      </w:r>
      <w:r w:rsidR="00F373B9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году </w:t>
      </w:r>
      <w:r w:rsidRPr="002157F1">
        <w:rPr>
          <w:rFonts w:ascii="Times New Roman" w:hAnsi="Times New Roman"/>
          <w:sz w:val="28"/>
          <w:szCs w:val="28"/>
        </w:rPr>
        <w:t>Управление</w:t>
      </w:r>
      <w:r>
        <w:rPr>
          <w:rFonts w:ascii="Times New Roman" w:hAnsi="Times New Roman"/>
          <w:sz w:val="28"/>
          <w:szCs w:val="28"/>
        </w:rPr>
        <w:t>м</w:t>
      </w:r>
      <w:r w:rsidRPr="002157F1">
        <w:rPr>
          <w:rFonts w:ascii="Times New Roman" w:hAnsi="Times New Roman"/>
          <w:sz w:val="28"/>
          <w:szCs w:val="28"/>
        </w:rPr>
        <w:t xml:space="preserve"> по муниципальному заказу города Волгодонска </w:t>
      </w:r>
      <w:r>
        <w:rPr>
          <w:rFonts w:ascii="Times New Roman" w:hAnsi="Times New Roman"/>
          <w:sz w:val="28"/>
          <w:szCs w:val="28"/>
        </w:rPr>
        <w:t>подготовлены и отправлены 7</w:t>
      </w:r>
      <w:r w:rsidR="00F373B9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отчетов о размещении заказов в минэкон</w:t>
      </w:r>
      <w:r w:rsidR="00F373B9">
        <w:rPr>
          <w:rFonts w:ascii="Times New Roman" w:hAnsi="Times New Roman"/>
          <w:sz w:val="28"/>
          <w:szCs w:val="28"/>
        </w:rPr>
        <w:t>омразвития Ростовской области.</w:t>
      </w:r>
    </w:p>
    <w:p w:rsidR="00336E0C" w:rsidRPr="002157F1" w:rsidRDefault="00336E0C" w:rsidP="00F373B9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Проведено 4</w:t>
      </w:r>
      <w:r w:rsidR="00F373B9">
        <w:rPr>
          <w:rFonts w:ascii="Times New Roman" w:hAnsi="Times New Roman"/>
          <w:color w:val="000000" w:themeColor="text1"/>
          <w:sz w:val="28"/>
          <w:szCs w:val="28"/>
        </w:rPr>
        <w:t> </w:t>
      </w:r>
      <w:r>
        <w:rPr>
          <w:rFonts w:ascii="Times New Roman" w:hAnsi="Times New Roman"/>
          <w:color w:val="000000" w:themeColor="text1"/>
          <w:sz w:val="28"/>
          <w:szCs w:val="28"/>
        </w:rPr>
        <w:t>семинара, в которых приняли участие более 250</w:t>
      </w:r>
      <w:r w:rsidR="00F373B9">
        <w:rPr>
          <w:rFonts w:ascii="Times New Roman" w:hAnsi="Times New Roman"/>
          <w:color w:val="000000" w:themeColor="text1"/>
          <w:sz w:val="28"/>
          <w:szCs w:val="28"/>
        </w:rPr>
        <w:t> 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участников. </w:t>
      </w:r>
    </w:p>
    <w:p w:rsidR="008D465E" w:rsidRPr="008D465E" w:rsidRDefault="008D465E" w:rsidP="00F373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D465E">
        <w:rPr>
          <w:rFonts w:ascii="Times New Roman" w:hAnsi="Times New Roman"/>
          <w:sz w:val="28"/>
          <w:szCs w:val="28"/>
        </w:rPr>
        <w:t>Практика работы в условиях действия на территории Российской Федерации Федерального закона от 21.07.2005 №</w:t>
      </w:r>
      <w:r w:rsidR="00F373B9">
        <w:rPr>
          <w:rFonts w:ascii="Times New Roman" w:hAnsi="Times New Roman"/>
          <w:sz w:val="28"/>
          <w:szCs w:val="28"/>
        </w:rPr>
        <w:t> </w:t>
      </w:r>
      <w:r w:rsidRPr="008D465E">
        <w:rPr>
          <w:rFonts w:ascii="Times New Roman" w:hAnsi="Times New Roman"/>
          <w:sz w:val="28"/>
          <w:szCs w:val="28"/>
        </w:rPr>
        <w:t>94-ФЗ «</w:t>
      </w:r>
      <w:r w:rsidRPr="008D465E">
        <w:rPr>
          <w:rFonts w:ascii="Times New Roman" w:hAnsi="Times New Roman"/>
          <w:bCs/>
          <w:sz w:val="28"/>
          <w:szCs w:val="28"/>
        </w:rPr>
        <w:t>О размещении заказов на поставки товаров, выполнение работ, оказание услуг для государственных и муниципальных нужд</w:t>
      </w:r>
      <w:r w:rsidRPr="008D465E">
        <w:rPr>
          <w:rFonts w:ascii="Times New Roman" w:hAnsi="Times New Roman"/>
          <w:sz w:val="28"/>
          <w:szCs w:val="28"/>
        </w:rPr>
        <w:t>», позволяет сделать вывод о необходимости постоянного совершенствования системы размещения заказов, как на федеральном, так и на региональном и муниципальном уровнях.</w:t>
      </w:r>
      <w:proofErr w:type="gramEnd"/>
    </w:p>
    <w:p w:rsidR="008D465E" w:rsidRPr="008D465E" w:rsidRDefault="00336E0C" w:rsidP="00F373B9">
      <w:pPr>
        <w:spacing w:after="0" w:line="240" w:lineRule="auto"/>
        <w:ind w:firstLine="709"/>
        <w:jc w:val="both"/>
        <w:rPr>
          <w:rFonts w:ascii="Times New Roman" w:hAnsi="Times New Roman"/>
          <w:color w:val="1D1D1D"/>
          <w:sz w:val="28"/>
          <w:szCs w:val="28"/>
        </w:rPr>
      </w:pPr>
      <w:r>
        <w:rPr>
          <w:rFonts w:ascii="Times New Roman" w:hAnsi="Times New Roman"/>
          <w:color w:val="1D1D1D"/>
          <w:sz w:val="28"/>
          <w:szCs w:val="28"/>
        </w:rPr>
        <w:t>В</w:t>
      </w:r>
      <w:r w:rsidR="008D465E" w:rsidRPr="008D465E">
        <w:rPr>
          <w:rFonts w:ascii="Times New Roman" w:hAnsi="Times New Roman"/>
          <w:color w:val="1D1D1D"/>
          <w:sz w:val="28"/>
          <w:szCs w:val="28"/>
        </w:rPr>
        <w:t xml:space="preserve"> качестве приоритетных направлений повышения эффективности бюджетной политики значится реформирование существующей системы государственных и муниципальных закупок и внесение изменений в законодательство Российской Федерации, направленных на формирование федеральной ко</w:t>
      </w:r>
      <w:r w:rsidR="00265F7B">
        <w:rPr>
          <w:rFonts w:ascii="Times New Roman" w:hAnsi="Times New Roman"/>
          <w:color w:val="1D1D1D"/>
          <w:sz w:val="28"/>
          <w:szCs w:val="28"/>
        </w:rPr>
        <w:t>нтрактной системы.</w:t>
      </w:r>
    </w:p>
    <w:p w:rsidR="00336E0C" w:rsidRDefault="008D465E" w:rsidP="00F373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465E">
        <w:rPr>
          <w:rFonts w:ascii="Times New Roman" w:hAnsi="Times New Roman"/>
          <w:sz w:val="28"/>
          <w:szCs w:val="28"/>
        </w:rPr>
        <w:t xml:space="preserve">Приоритетными направлениями деятельности </w:t>
      </w:r>
      <w:r w:rsidR="00265F7B">
        <w:rPr>
          <w:rFonts w:ascii="Times New Roman" w:hAnsi="Times New Roman"/>
          <w:sz w:val="28"/>
          <w:szCs w:val="28"/>
        </w:rPr>
        <w:t>Управления</w:t>
      </w:r>
      <w:r w:rsidR="00336E0C">
        <w:rPr>
          <w:rFonts w:ascii="Times New Roman" w:hAnsi="Times New Roman"/>
          <w:sz w:val="28"/>
          <w:szCs w:val="28"/>
        </w:rPr>
        <w:t xml:space="preserve"> и заказчиков</w:t>
      </w:r>
      <w:r w:rsidRPr="008D465E">
        <w:rPr>
          <w:rFonts w:ascii="Times New Roman" w:hAnsi="Times New Roman"/>
          <w:sz w:val="28"/>
          <w:szCs w:val="28"/>
        </w:rPr>
        <w:t xml:space="preserve">, требующими решения </w:t>
      </w:r>
      <w:r w:rsidR="00336E0C">
        <w:rPr>
          <w:rFonts w:ascii="Times New Roman" w:hAnsi="Times New Roman"/>
          <w:sz w:val="28"/>
          <w:szCs w:val="28"/>
        </w:rPr>
        <w:t>в 2013</w:t>
      </w:r>
      <w:r w:rsidR="00F373B9">
        <w:rPr>
          <w:rFonts w:ascii="Times New Roman" w:hAnsi="Times New Roman"/>
          <w:sz w:val="28"/>
          <w:szCs w:val="28"/>
        </w:rPr>
        <w:t> </w:t>
      </w:r>
      <w:r w:rsidR="00336E0C">
        <w:rPr>
          <w:rFonts w:ascii="Times New Roman" w:hAnsi="Times New Roman"/>
          <w:sz w:val="28"/>
          <w:szCs w:val="28"/>
        </w:rPr>
        <w:t>году</w:t>
      </w:r>
      <w:r w:rsidRPr="008D465E">
        <w:rPr>
          <w:rFonts w:ascii="Times New Roman" w:hAnsi="Times New Roman"/>
          <w:sz w:val="28"/>
          <w:szCs w:val="28"/>
        </w:rPr>
        <w:t xml:space="preserve"> является </w:t>
      </w:r>
      <w:r w:rsidR="00336E0C">
        <w:rPr>
          <w:rFonts w:ascii="Times New Roman" w:hAnsi="Times New Roman"/>
          <w:sz w:val="28"/>
          <w:szCs w:val="28"/>
        </w:rPr>
        <w:t>переход на работу в условиях федеральной контрактной системы,</w:t>
      </w:r>
      <w:r w:rsidR="00336E0C" w:rsidRPr="00336E0C">
        <w:rPr>
          <w:rFonts w:ascii="Times New Roman" w:hAnsi="Times New Roman"/>
          <w:sz w:val="28"/>
          <w:szCs w:val="28"/>
        </w:rPr>
        <w:t xml:space="preserve"> </w:t>
      </w:r>
      <w:r w:rsidR="00336E0C" w:rsidRPr="008D465E">
        <w:rPr>
          <w:rFonts w:ascii="Times New Roman" w:hAnsi="Times New Roman"/>
          <w:sz w:val="28"/>
          <w:szCs w:val="28"/>
        </w:rPr>
        <w:t>обеспечение эффективного функционирования системы размещения заказов для муниципальных нужд муниципального образования «Город Волгодонск».</w:t>
      </w:r>
    </w:p>
    <w:p w:rsidR="008D465E" w:rsidRPr="008D465E" w:rsidRDefault="008D465E" w:rsidP="00F373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50ABE" w:rsidRDefault="00250ABE" w:rsidP="00F373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08D5" w:rsidRPr="003508D5" w:rsidRDefault="003508D5" w:rsidP="00F373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08D5">
        <w:rPr>
          <w:rFonts w:ascii="Times New Roman" w:hAnsi="Times New Roman"/>
          <w:sz w:val="28"/>
          <w:szCs w:val="28"/>
        </w:rPr>
        <w:t xml:space="preserve">Начальник Управления </w:t>
      </w:r>
    </w:p>
    <w:p w:rsidR="003508D5" w:rsidRPr="003508D5" w:rsidRDefault="003508D5" w:rsidP="00F373B9">
      <w:pPr>
        <w:tabs>
          <w:tab w:val="left" w:pos="73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08D5">
        <w:rPr>
          <w:rFonts w:ascii="Times New Roman" w:hAnsi="Times New Roman"/>
          <w:sz w:val="28"/>
          <w:szCs w:val="28"/>
        </w:rPr>
        <w:t xml:space="preserve">по муниципальному заказу </w:t>
      </w:r>
      <w:r w:rsidRPr="003508D5">
        <w:rPr>
          <w:rFonts w:ascii="Times New Roman" w:hAnsi="Times New Roman"/>
          <w:sz w:val="28"/>
          <w:szCs w:val="28"/>
        </w:rPr>
        <w:tab/>
      </w:r>
    </w:p>
    <w:p w:rsidR="003508D5" w:rsidRPr="003508D5" w:rsidRDefault="00F373B9" w:rsidP="00F373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города Волгодонска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3508D5" w:rsidRPr="003508D5">
        <w:rPr>
          <w:rFonts w:ascii="Times New Roman" w:hAnsi="Times New Roman"/>
          <w:sz w:val="28"/>
          <w:szCs w:val="28"/>
        </w:rPr>
        <w:t>С.Ю. Гладченко</w:t>
      </w:r>
    </w:p>
    <w:sectPr w:rsidR="003508D5" w:rsidRPr="003508D5" w:rsidSect="00B42E8E">
      <w:footerReference w:type="even" r:id="rId9"/>
      <w:footerReference w:type="default" r:id="rId10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7B2" w:rsidRDefault="001C17B2">
      <w:pPr>
        <w:spacing w:after="0" w:line="240" w:lineRule="auto"/>
      </w:pPr>
      <w:r>
        <w:separator/>
      </w:r>
    </w:p>
  </w:endnote>
  <w:endnote w:type="continuationSeparator" w:id="0">
    <w:p w:rsidR="001C17B2" w:rsidRDefault="001C1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EE4" w:rsidRDefault="00A44EE4" w:rsidP="00250AB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44EE4" w:rsidRDefault="00A44EE4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EE4" w:rsidRDefault="00A44EE4" w:rsidP="00250AB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130BD">
      <w:rPr>
        <w:rStyle w:val="a5"/>
        <w:noProof/>
      </w:rPr>
      <w:t>1</w:t>
    </w:r>
    <w:r>
      <w:rPr>
        <w:rStyle w:val="a5"/>
      </w:rPr>
      <w:fldChar w:fldCharType="end"/>
    </w:r>
  </w:p>
  <w:p w:rsidR="00A44EE4" w:rsidRDefault="00A44EE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7B2" w:rsidRDefault="001C17B2">
      <w:pPr>
        <w:spacing w:after="0" w:line="240" w:lineRule="auto"/>
      </w:pPr>
      <w:r>
        <w:separator/>
      </w:r>
    </w:p>
  </w:footnote>
  <w:footnote w:type="continuationSeparator" w:id="0">
    <w:p w:rsidR="001C17B2" w:rsidRDefault="001C17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150C6"/>
    <w:multiLevelType w:val="multilevel"/>
    <w:tmpl w:val="301CE9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400F4C12"/>
    <w:multiLevelType w:val="hybridMultilevel"/>
    <w:tmpl w:val="52A044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55329F"/>
    <w:multiLevelType w:val="hybridMultilevel"/>
    <w:tmpl w:val="0EECC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8C694B"/>
    <w:multiLevelType w:val="hybridMultilevel"/>
    <w:tmpl w:val="4A809760"/>
    <w:lvl w:ilvl="0" w:tplc="B1CECDD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D12270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67A508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AE736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21AE5F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8C3F8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FAC2A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76FB6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BA26E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59D581F"/>
    <w:multiLevelType w:val="hybridMultilevel"/>
    <w:tmpl w:val="D65C0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0ABE"/>
    <w:rsid w:val="00001C02"/>
    <w:rsid w:val="00021A70"/>
    <w:rsid w:val="00022CD6"/>
    <w:rsid w:val="00023BAF"/>
    <w:rsid w:val="0002453D"/>
    <w:rsid w:val="000255EC"/>
    <w:rsid w:val="00027D0A"/>
    <w:rsid w:val="000400C0"/>
    <w:rsid w:val="000517FF"/>
    <w:rsid w:val="00072E1D"/>
    <w:rsid w:val="000856B2"/>
    <w:rsid w:val="00087BC9"/>
    <w:rsid w:val="00095442"/>
    <w:rsid w:val="000B3E2C"/>
    <w:rsid w:val="000C0845"/>
    <w:rsid w:val="000D6E5F"/>
    <w:rsid w:val="000F58DE"/>
    <w:rsid w:val="000F5AA6"/>
    <w:rsid w:val="00105363"/>
    <w:rsid w:val="00110A05"/>
    <w:rsid w:val="00113583"/>
    <w:rsid w:val="00121F5F"/>
    <w:rsid w:val="001368C4"/>
    <w:rsid w:val="00136990"/>
    <w:rsid w:val="00144DAF"/>
    <w:rsid w:val="00145E14"/>
    <w:rsid w:val="00155D70"/>
    <w:rsid w:val="001573C3"/>
    <w:rsid w:val="00161CBA"/>
    <w:rsid w:val="00164FDA"/>
    <w:rsid w:val="00181682"/>
    <w:rsid w:val="00185977"/>
    <w:rsid w:val="00186501"/>
    <w:rsid w:val="001B13D8"/>
    <w:rsid w:val="001B21F9"/>
    <w:rsid w:val="001C17B2"/>
    <w:rsid w:val="001C5D32"/>
    <w:rsid w:val="001D2828"/>
    <w:rsid w:val="001E525B"/>
    <w:rsid w:val="001E7E1A"/>
    <w:rsid w:val="00200192"/>
    <w:rsid w:val="002065B3"/>
    <w:rsid w:val="002157F1"/>
    <w:rsid w:val="00215A13"/>
    <w:rsid w:val="00220F55"/>
    <w:rsid w:val="002328EE"/>
    <w:rsid w:val="00242655"/>
    <w:rsid w:val="00243ACB"/>
    <w:rsid w:val="00250ABE"/>
    <w:rsid w:val="00253EE2"/>
    <w:rsid w:val="00256C87"/>
    <w:rsid w:val="002603EC"/>
    <w:rsid w:val="00265F7B"/>
    <w:rsid w:val="00266D61"/>
    <w:rsid w:val="00271D15"/>
    <w:rsid w:val="00272C8B"/>
    <w:rsid w:val="00272FA8"/>
    <w:rsid w:val="00273812"/>
    <w:rsid w:val="0027633C"/>
    <w:rsid w:val="00287BE4"/>
    <w:rsid w:val="002924A7"/>
    <w:rsid w:val="00293E35"/>
    <w:rsid w:val="00295547"/>
    <w:rsid w:val="002A2E4A"/>
    <w:rsid w:val="002B2EBE"/>
    <w:rsid w:val="002B7E06"/>
    <w:rsid w:val="002C3611"/>
    <w:rsid w:val="002C3A02"/>
    <w:rsid w:val="002D7C24"/>
    <w:rsid w:val="002F7244"/>
    <w:rsid w:val="0030031B"/>
    <w:rsid w:val="0030456B"/>
    <w:rsid w:val="003056E7"/>
    <w:rsid w:val="003269F7"/>
    <w:rsid w:val="00330A91"/>
    <w:rsid w:val="00332AFF"/>
    <w:rsid w:val="00336E0C"/>
    <w:rsid w:val="00337C66"/>
    <w:rsid w:val="00343CD0"/>
    <w:rsid w:val="003508D5"/>
    <w:rsid w:val="00351EBA"/>
    <w:rsid w:val="0035569E"/>
    <w:rsid w:val="00362B9F"/>
    <w:rsid w:val="00370428"/>
    <w:rsid w:val="0037570E"/>
    <w:rsid w:val="00377C56"/>
    <w:rsid w:val="00380F3F"/>
    <w:rsid w:val="003848B5"/>
    <w:rsid w:val="0039376E"/>
    <w:rsid w:val="00397DED"/>
    <w:rsid w:val="003A106A"/>
    <w:rsid w:val="003A532B"/>
    <w:rsid w:val="003A5577"/>
    <w:rsid w:val="003B774C"/>
    <w:rsid w:val="003C6BF6"/>
    <w:rsid w:val="003D3146"/>
    <w:rsid w:val="003D54AA"/>
    <w:rsid w:val="003E07F3"/>
    <w:rsid w:val="003E44FD"/>
    <w:rsid w:val="003E5536"/>
    <w:rsid w:val="003E7241"/>
    <w:rsid w:val="003F2FF8"/>
    <w:rsid w:val="00405A1D"/>
    <w:rsid w:val="00407B3C"/>
    <w:rsid w:val="00411280"/>
    <w:rsid w:val="00412E7F"/>
    <w:rsid w:val="00414247"/>
    <w:rsid w:val="00415E63"/>
    <w:rsid w:val="00427658"/>
    <w:rsid w:val="00431E1B"/>
    <w:rsid w:val="0043299C"/>
    <w:rsid w:val="00432B20"/>
    <w:rsid w:val="00441CF9"/>
    <w:rsid w:val="00451977"/>
    <w:rsid w:val="00452B0C"/>
    <w:rsid w:val="00462218"/>
    <w:rsid w:val="0048687E"/>
    <w:rsid w:val="004921E4"/>
    <w:rsid w:val="004944FF"/>
    <w:rsid w:val="004A2D64"/>
    <w:rsid w:val="004A77D9"/>
    <w:rsid w:val="004B01B3"/>
    <w:rsid w:val="004C0C58"/>
    <w:rsid w:val="004C48D0"/>
    <w:rsid w:val="004D389B"/>
    <w:rsid w:val="004D5B5E"/>
    <w:rsid w:val="004D77A0"/>
    <w:rsid w:val="004E43BE"/>
    <w:rsid w:val="004E4CF5"/>
    <w:rsid w:val="004F5CA5"/>
    <w:rsid w:val="00506C12"/>
    <w:rsid w:val="0051599F"/>
    <w:rsid w:val="005161C9"/>
    <w:rsid w:val="0054013C"/>
    <w:rsid w:val="005405AC"/>
    <w:rsid w:val="00540BC1"/>
    <w:rsid w:val="0054246A"/>
    <w:rsid w:val="00571CC4"/>
    <w:rsid w:val="00581462"/>
    <w:rsid w:val="005A0A04"/>
    <w:rsid w:val="005A67C1"/>
    <w:rsid w:val="005C4695"/>
    <w:rsid w:val="005D0F2F"/>
    <w:rsid w:val="005D21B9"/>
    <w:rsid w:val="005E1C2B"/>
    <w:rsid w:val="005E6EE3"/>
    <w:rsid w:val="005F048B"/>
    <w:rsid w:val="006115A9"/>
    <w:rsid w:val="00612BD8"/>
    <w:rsid w:val="006130BD"/>
    <w:rsid w:val="00615BF5"/>
    <w:rsid w:val="00616050"/>
    <w:rsid w:val="00624AB8"/>
    <w:rsid w:val="006318A3"/>
    <w:rsid w:val="00641B1F"/>
    <w:rsid w:val="006532CC"/>
    <w:rsid w:val="00664E6D"/>
    <w:rsid w:val="006728F0"/>
    <w:rsid w:val="006809F3"/>
    <w:rsid w:val="00690462"/>
    <w:rsid w:val="006A13CB"/>
    <w:rsid w:val="006A3A66"/>
    <w:rsid w:val="006A775E"/>
    <w:rsid w:val="006B4045"/>
    <w:rsid w:val="006B5811"/>
    <w:rsid w:val="006C533A"/>
    <w:rsid w:val="006D002D"/>
    <w:rsid w:val="006D2BD4"/>
    <w:rsid w:val="006E7C20"/>
    <w:rsid w:val="007032D1"/>
    <w:rsid w:val="00706115"/>
    <w:rsid w:val="007069B6"/>
    <w:rsid w:val="00715371"/>
    <w:rsid w:val="00715C92"/>
    <w:rsid w:val="00737A1F"/>
    <w:rsid w:val="00737C3D"/>
    <w:rsid w:val="00742332"/>
    <w:rsid w:val="007431BF"/>
    <w:rsid w:val="007516D2"/>
    <w:rsid w:val="007563F7"/>
    <w:rsid w:val="00762410"/>
    <w:rsid w:val="00763600"/>
    <w:rsid w:val="00764EE4"/>
    <w:rsid w:val="00771177"/>
    <w:rsid w:val="00771777"/>
    <w:rsid w:val="00774329"/>
    <w:rsid w:val="00781C2E"/>
    <w:rsid w:val="00793A43"/>
    <w:rsid w:val="00794A1A"/>
    <w:rsid w:val="00797182"/>
    <w:rsid w:val="007973A3"/>
    <w:rsid w:val="007A0C86"/>
    <w:rsid w:val="007A1872"/>
    <w:rsid w:val="007B5FED"/>
    <w:rsid w:val="007E11A3"/>
    <w:rsid w:val="007E38ED"/>
    <w:rsid w:val="007F268A"/>
    <w:rsid w:val="007F75DB"/>
    <w:rsid w:val="008039EC"/>
    <w:rsid w:val="008049B9"/>
    <w:rsid w:val="008110F5"/>
    <w:rsid w:val="00811C4A"/>
    <w:rsid w:val="00817410"/>
    <w:rsid w:val="0082021A"/>
    <w:rsid w:val="00822E23"/>
    <w:rsid w:val="00836043"/>
    <w:rsid w:val="008416DC"/>
    <w:rsid w:val="00850ADC"/>
    <w:rsid w:val="00853AA3"/>
    <w:rsid w:val="00853D27"/>
    <w:rsid w:val="00880AD2"/>
    <w:rsid w:val="00881D13"/>
    <w:rsid w:val="0089482E"/>
    <w:rsid w:val="008952AF"/>
    <w:rsid w:val="008A184E"/>
    <w:rsid w:val="008A562A"/>
    <w:rsid w:val="008A6CEF"/>
    <w:rsid w:val="008B1D23"/>
    <w:rsid w:val="008B2348"/>
    <w:rsid w:val="008C1030"/>
    <w:rsid w:val="008C51E7"/>
    <w:rsid w:val="008C6A5E"/>
    <w:rsid w:val="008D465E"/>
    <w:rsid w:val="008D6AAE"/>
    <w:rsid w:val="008D7411"/>
    <w:rsid w:val="008E6988"/>
    <w:rsid w:val="008F008D"/>
    <w:rsid w:val="008F021B"/>
    <w:rsid w:val="008F68C8"/>
    <w:rsid w:val="00913C5C"/>
    <w:rsid w:val="00915B26"/>
    <w:rsid w:val="0092140B"/>
    <w:rsid w:val="00927622"/>
    <w:rsid w:val="00937FF1"/>
    <w:rsid w:val="009408C9"/>
    <w:rsid w:val="00947289"/>
    <w:rsid w:val="00950D1E"/>
    <w:rsid w:val="009519F7"/>
    <w:rsid w:val="00960DBF"/>
    <w:rsid w:val="009760EE"/>
    <w:rsid w:val="009A0530"/>
    <w:rsid w:val="009B08E2"/>
    <w:rsid w:val="009B0F2A"/>
    <w:rsid w:val="009B1BE2"/>
    <w:rsid w:val="009B4BCD"/>
    <w:rsid w:val="009B5D56"/>
    <w:rsid w:val="009C132C"/>
    <w:rsid w:val="009C2C07"/>
    <w:rsid w:val="00A05DD9"/>
    <w:rsid w:val="00A138BE"/>
    <w:rsid w:val="00A207C9"/>
    <w:rsid w:val="00A2290F"/>
    <w:rsid w:val="00A44EE4"/>
    <w:rsid w:val="00A51552"/>
    <w:rsid w:val="00A562DA"/>
    <w:rsid w:val="00A574DB"/>
    <w:rsid w:val="00A7114D"/>
    <w:rsid w:val="00A73C7E"/>
    <w:rsid w:val="00A93825"/>
    <w:rsid w:val="00A974FC"/>
    <w:rsid w:val="00AA1A7B"/>
    <w:rsid w:val="00AA1F8A"/>
    <w:rsid w:val="00AB70F5"/>
    <w:rsid w:val="00AC1CC0"/>
    <w:rsid w:val="00AD03C9"/>
    <w:rsid w:val="00AE4242"/>
    <w:rsid w:val="00AE69A0"/>
    <w:rsid w:val="00AF23E9"/>
    <w:rsid w:val="00B05546"/>
    <w:rsid w:val="00B10C74"/>
    <w:rsid w:val="00B22EBB"/>
    <w:rsid w:val="00B22FDA"/>
    <w:rsid w:val="00B2305D"/>
    <w:rsid w:val="00B26508"/>
    <w:rsid w:val="00B26DE6"/>
    <w:rsid w:val="00B31B76"/>
    <w:rsid w:val="00B34160"/>
    <w:rsid w:val="00B4016A"/>
    <w:rsid w:val="00B42E8E"/>
    <w:rsid w:val="00B43105"/>
    <w:rsid w:val="00B5499D"/>
    <w:rsid w:val="00B54E63"/>
    <w:rsid w:val="00B73251"/>
    <w:rsid w:val="00B8443B"/>
    <w:rsid w:val="00B8752F"/>
    <w:rsid w:val="00B9167B"/>
    <w:rsid w:val="00B93F73"/>
    <w:rsid w:val="00B95039"/>
    <w:rsid w:val="00BA1A1C"/>
    <w:rsid w:val="00BA64DB"/>
    <w:rsid w:val="00BA696C"/>
    <w:rsid w:val="00BB458C"/>
    <w:rsid w:val="00BC67E3"/>
    <w:rsid w:val="00BD5C35"/>
    <w:rsid w:val="00BE4CCB"/>
    <w:rsid w:val="00BE6E19"/>
    <w:rsid w:val="00BF0E36"/>
    <w:rsid w:val="00BF7467"/>
    <w:rsid w:val="00C016DC"/>
    <w:rsid w:val="00C0780F"/>
    <w:rsid w:val="00C12040"/>
    <w:rsid w:val="00C14102"/>
    <w:rsid w:val="00C17B56"/>
    <w:rsid w:val="00C30A58"/>
    <w:rsid w:val="00C35E88"/>
    <w:rsid w:val="00C835FC"/>
    <w:rsid w:val="00C93486"/>
    <w:rsid w:val="00CA6572"/>
    <w:rsid w:val="00CD1042"/>
    <w:rsid w:val="00CE0C91"/>
    <w:rsid w:val="00CE1482"/>
    <w:rsid w:val="00CF013F"/>
    <w:rsid w:val="00CF4784"/>
    <w:rsid w:val="00D04676"/>
    <w:rsid w:val="00D148E5"/>
    <w:rsid w:val="00D1757C"/>
    <w:rsid w:val="00D21D91"/>
    <w:rsid w:val="00D23579"/>
    <w:rsid w:val="00D3215E"/>
    <w:rsid w:val="00D36832"/>
    <w:rsid w:val="00D5108B"/>
    <w:rsid w:val="00D52263"/>
    <w:rsid w:val="00D538AC"/>
    <w:rsid w:val="00D54E46"/>
    <w:rsid w:val="00D563F5"/>
    <w:rsid w:val="00D65E90"/>
    <w:rsid w:val="00D67B28"/>
    <w:rsid w:val="00D84387"/>
    <w:rsid w:val="00D85463"/>
    <w:rsid w:val="00D90DCF"/>
    <w:rsid w:val="00DB02E9"/>
    <w:rsid w:val="00DB5097"/>
    <w:rsid w:val="00DC4611"/>
    <w:rsid w:val="00DE0E7D"/>
    <w:rsid w:val="00DE5C3F"/>
    <w:rsid w:val="00DE5C72"/>
    <w:rsid w:val="00DF159B"/>
    <w:rsid w:val="00DF6235"/>
    <w:rsid w:val="00E03D19"/>
    <w:rsid w:val="00E04E10"/>
    <w:rsid w:val="00E10650"/>
    <w:rsid w:val="00E10CC2"/>
    <w:rsid w:val="00E10F48"/>
    <w:rsid w:val="00E15DA1"/>
    <w:rsid w:val="00E16DC5"/>
    <w:rsid w:val="00E21A07"/>
    <w:rsid w:val="00E432FB"/>
    <w:rsid w:val="00E57005"/>
    <w:rsid w:val="00E60D24"/>
    <w:rsid w:val="00E61D30"/>
    <w:rsid w:val="00E72D9A"/>
    <w:rsid w:val="00E746CC"/>
    <w:rsid w:val="00E85488"/>
    <w:rsid w:val="00E931F0"/>
    <w:rsid w:val="00E94C0F"/>
    <w:rsid w:val="00EA5A20"/>
    <w:rsid w:val="00EB5BAE"/>
    <w:rsid w:val="00EB68B9"/>
    <w:rsid w:val="00ED2692"/>
    <w:rsid w:val="00ED5233"/>
    <w:rsid w:val="00EF3032"/>
    <w:rsid w:val="00EF303F"/>
    <w:rsid w:val="00EF739C"/>
    <w:rsid w:val="00F03316"/>
    <w:rsid w:val="00F11248"/>
    <w:rsid w:val="00F20214"/>
    <w:rsid w:val="00F235C2"/>
    <w:rsid w:val="00F272F9"/>
    <w:rsid w:val="00F30CC9"/>
    <w:rsid w:val="00F373B9"/>
    <w:rsid w:val="00F55CDA"/>
    <w:rsid w:val="00F60132"/>
    <w:rsid w:val="00F84FC6"/>
    <w:rsid w:val="00F90EB3"/>
    <w:rsid w:val="00F9118A"/>
    <w:rsid w:val="00F9526F"/>
    <w:rsid w:val="00F95564"/>
    <w:rsid w:val="00FA1829"/>
    <w:rsid w:val="00FA3AE7"/>
    <w:rsid w:val="00FB1034"/>
    <w:rsid w:val="00FB78A9"/>
    <w:rsid w:val="00FC70DF"/>
    <w:rsid w:val="00FD43B1"/>
    <w:rsid w:val="00FE3B46"/>
    <w:rsid w:val="00FF5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0ABE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50AB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Нижний колонтитул Знак"/>
    <w:link w:val="a3"/>
    <w:rsid w:val="00250ABE"/>
    <w:rPr>
      <w:lang w:val="ru-RU" w:eastAsia="ru-RU" w:bidi="ar-SA"/>
    </w:rPr>
  </w:style>
  <w:style w:type="character" w:styleId="a5">
    <w:name w:val="page number"/>
    <w:basedOn w:val="a0"/>
    <w:rsid w:val="00250ABE"/>
  </w:style>
  <w:style w:type="paragraph" w:customStyle="1" w:styleId="2">
    <w:name w:val="Знак Знак2"/>
    <w:basedOn w:val="a"/>
    <w:rsid w:val="00405A1D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6">
    <w:name w:val="Balloon Text"/>
    <w:basedOn w:val="a"/>
    <w:link w:val="a7"/>
    <w:rsid w:val="00405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405A1D"/>
    <w:rPr>
      <w:rFonts w:ascii="Tahoma" w:eastAsia="Calibri" w:hAnsi="Tahoma" w:cs="Tahoma"/>
      <w:sz w:val="16"/>
      <w:szCs w:val="16"/>
      <w:lang w:eastAsia="en-US"/>
    </w:rPr>
  </w:style>
  <w:style w:type="paragraph" w:customStyle="1" w:styleId="1">
    <w:name w:val="Знак Знак1 Знак"/>
    <w:basedOn w:val="a"/>
    <w:rsid w:val="006809F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8">
    <w:name w:val="Body Text"/>
    <w:aliases w:val="bt,body text"/>
    <w:basedOn w:val="a"/>
    <w:link w:val="10"/>
    <w:rsid w:val="00B5499D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rsid w:val="00B5499D"/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Знак1 Знак Знак Знак"/>
    <w:basedOn w:val="a"/>
    <w:rsid w:val="00B5499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Основной текст Знак1"/>
    <w:aliases w:val="bt Знак,body text Знак"/>
    <w:link w:val="a8"/>
    <w:rsid w:val="00B5499D"/>
    <w:rPr>
      <w:sz w:val="24"/>
      <w:szCs w:val="24"/>
    </w:rPr>
  </w:style>
  <w:style w:type="paragraph" w:customStyle="1" w:styleId="ConsPlusTitle">
    <w:name w:val="ConsPlusTitle"/>
    <w:rsid w:val="003508D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EBB1C5-9042-432E-B482-4C3A9888E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1215</Words>
  <Characters>6928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Гладченко Светлана</dc:creator>
  <cp:lastModifiedBy>Позднякова Валентина Владимировна</cp:lastModifiedBy>
  <cp:revision>4</cp:revision>
  <cp:lastPrinted>2013-01-10T11:14:00Z</cp:lastPrinted>
  <dcterms:created xsi:type="dcterms:W3CDTF">2013-01-10T11:14:00Z</dcterms:created>
  <dcterms:modified xsi:type="dcterms:W3CDTF">2013-01-11T08:52:00Z</dcterms:modified>
</cp:coreProperties>
</file>