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E" w:rsidRPr="00060ECD" w:rsidRDefault="002879CE" w:rsidP="00C93FE5">
      <w:pPr>
        <w:pStyle w:val="1"/>
        <w:spacing w:before="0" w:line="360" w:lineRule="auto"/>
        <w:jc w:val="center"/>
        <w:rPr>
          <w:color w:val="000000" w:themeColor="text1"/>
        </w:rPr>
      </w:pPr>
      <w:r w:rsidRPr="00060ECD">
        <w:rPr>
          <w:color w:val="000000" w:themeColor="text1"/>
        </w:rPr>
        <w:t>ОТЧЕТ</w:t>
      </w:r>
      <w:r w:rsidR="00951ABA" w:rsidRPr="00060ECD">
        <w:rPr>
          <w:color w:val="000000" w:themeColor="text1"/>
        </w:rPr>
        <w:t xml:space="preserve"> О РАБОТЕ</w:t>
      </w:r>
    </w:p>
    <w:p w:rsidR="002879CE" w:rsidRPr="00060ECD" w:rsidRDefault="002879CE" w:rsidP="00C93FE5">
      <w:pPr>
        <w:pStyle w:val="1"/>
        <w:spacing w:before="0" w:line="360" w:lineRule="auto"/>
        <w:rPr>
          <w:color w:val="000000" w:themeColor="text1"/>
        </w:rPr>
      </w:pPr>
      <w:r w:rsidRPr="00060ECD">
        <w:rPr>
          <w:color w:val="000000" w:themeColor="text1"/>
        </w:rPr>
        <w:t>Центра общественных организаций г</w:t>
      </w:r>
      <w:r w:rsidR="00D93D78" w:rsidRPr="00060ECD">
        <w:rPr>
          <w:color w:val="000000" w:themeColor="text1"/>
        </w:rPr>
        <w:t xml:space="preserve">орода </w:t>
      </w:r>
      <w:r w:rsidRPr="00060ECD">
        <w:rPr>
          <w:color w:val="000000" w:themeColor="text1"/>
        </w:rPr>
        <w:t>Волгодонска</w:t>
      </w:r>
      <w:r w:rsidR="00951ABA" w:rsidRPr="00060ECD">
        <w:rPr>
          <w:color w:val="000000" w:themeColor="text1"/>
        </w:rPr>
        <w:t xml:space="preserve"> </w:t>
      </w:r>
      <w:r w:rsidRPr="00060ECD">
        <w:rPr>
          <w:color w:val="000000" w:themeColor="text1"/>
        </w:rPr>
        <w:t>за 2013 год</w:t>
      </w:r>
    </w:p>
    <w:p w:rsidR="002879CE" w:rsidRDefault="002879CE" w:rsidP="00C93FE5">
      <w:pPr>
        <w:pStyle w:val="1"/>
        <w:spacing w:before="0" w:line="360" w:lineRule="auto"/>
        <w:jc w:val="center"/>
      </w:pPr>
    </w:p>
    <w:p w:rsidR="00D93D78" w:rsidRDefault="00D93D78" w:rsidP="00C93F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2013 году основными направлениями работы Центра общественных организаций города Волгодонска</w:t>
      </w:r>
      <w:r w:rsidR="0095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были:</w:t>
      </w:r>
    </w:p>
    <w:p w:rsidR="00AF02C9" w:rsidRPr="00060ECD" w:rsidRDefault="00AF02C9" w:rsidP="00C93FE5">
      <w:pPr>
        <w:pStyle w:val="a3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социально ориентированным </w:t>
      </w:r>
      <w:r w:rsidR="00D93D78" w:rsidRPr="00C9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некоммерческим </w:t>
      </w:r>
      <w:r w:rsidRPr="00C93FE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</w:t>
      </w:r>
      <w:r w:rsidR="00344D92" w:rsidRPr="00C9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 НКО)</w:t>
      </w:r>
      <w:r w:rsidRPr="00C9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информационной, консультационной и методической помощи; </w:t>
      </w:r>
    </w:p>
    <w:p w:rsidR="00AF02C9" w:rsidRPr="00060ECD" w:rsidRDefault="00AF02C9" w:rsidP="00C93FE5">
      <w:pPr>
        <w:pStyle w:val="a3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и распространение лучших социальных практик организаций некоммерческого сектора;</w:t>
      </w:r>
    </w:p>
    <w:p w:rsidR="00AF02C9" w:rsidRPr="00060ECD" w:rsidRDefault="00AF02C9" w:rsidP="00C93FE5">
      <w:pPr>
        <w:pStyle w:val="a3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развитию коммуникаций между организациями;</w:t>
      </w:r>
    </w:p>
    <w:p w:rsidR="00AF02C9" w:rsidRPr="00060ECD" w:rsidRDefault="00AF02C9" w:rsidP="00C93FE5">
      <w:pPr>
        <w:pStyle w:val="a3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населения о деятельности социально ориентированных организаций.</w:t>
      </w:r>
    </w:p>
    <w:p w:rsidR="00751446" w:rsidRPr="00060ECD" w:rsidRDefault="008A6392" w:rsidP="00C93FE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В Центре н</w:t>
      </w:r>
      <w:r w:rsidR="00AF02C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постоянной основе работают </w:t>
      </w:r>
      <w:r w:rsidR="00AF02C9"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11 </w:t>
      </w:r>
      <w:r w:rsidR="00751446"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 НКО</w:t>
      </w:r>
      <w:r w:rsidR="00AF02C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, за которыми закреплены кабинеты, предоставлена бесплатная телефонная связь, созданы условия для проведения мероприятий различного формата. Это значительная материальная поддержка для организаций, которые не имеют собственных офисов.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1492" w:rsidRPr="00060ECD" w:rsidRDefault="001F1E23" w:rsidP="00B0149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В методическом кабинете формируется и регулярно обновляется законодательная база, касающаяся вопросов местного самоуправления, принятые муниципальные долгосрочные программы. Пред</w:t>
      </w:r>
      <w:r w:rsidR="00751446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оставляется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проводимых общероссийских, региональных и муниципальных </w:t>
      </w:r>
      <w:r w:rsidR="00751446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грантовых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</w:t>
      </w:r>
      <w:r w:rsidR="00751446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</w:t>
      </w:r>
      <w:r w:rsidR="00751446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сборников</w:t>
      </w:r>
      <w:r w:rsidR="00751446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буклетов, </w:t>
      </w:r>
      <w:r w:rsidR="00751446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специальных издани</w:t>
      </w:r>
      <w:r w:rsidR="00B014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справочной литературы для организаций некоммерческого сектора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более 300 </w:t>
      </w:r>
      <w:r w:rsidR="0089665C"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наименований</w:t>
      </w:r>
      <w:r w:rsidR="00B014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665C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1E23" w:rsidRPr="00060ECD" w:rsidRDefault="00B01492" w:rsidP="00B0149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едется подшивка периодических изданий, таких как «Российская газета»,</w:t>
      </w:r>
      <w:r w:rsidR="00954090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 официальный», «Вечерний Волгодонск», «Волгодонская правда», «Местное время», «Волгодонск».</w:t>
      </w:r>
    </w:p>
    <w:p w:rsidR="001F1E23" w:rsidRPr="00060ECD" w:rsidRDefault="001F1E23" w:rsidP="00C93FE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подключением в 2012 году информационно-телекоммуникационной сети «Интернет», у руководителей </w:t>
      </w:r>
      <w:r w:rsidR="00344D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НКО появилась возможность оперативно знакомиться с нормативно-правовой базой и информацией, касающееся вопросов деятельности органов государственной власти Р</w:t>
      </w:r>
      <w:r w:rsidR="00344D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44D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, Правительств</w:t>
      </w:r>
      <w:r w:rsidR="00344D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области, Администрации г</w:t>
      </w:r>
      <w:r w:rsidR="00344D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орода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Волгодонска, а также со специальными информационными ресурсами для </w:t>
      </w:r>
      <w:r w:rsidR="00344D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некоммерческого сектора.</w:t>
      </w:r>
    </w:p>
    <w:p w:rsidR="00AF02C9" w:rsidRPr="00060ECD" w:rsidRDefault="001F1E23" w:rsidP="00C93FE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Активными </w:t>
      </w:r>
      <w:r w:rsidR="00C93FE5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нтернет-пользователями стали такие </w:t>
      </w:r>
      <w:r w:rsidR="00344D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НКО как:</w:t>
      </w:r>
      <w:r w:rsidR="004A4B3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D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Представительство Ростовской региональной общественной организации инвалидов «Ростовское областное диабетическое общество»</w:t>
      </w:r>
      <w:r w:rsidR="004A4B3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4D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Волгодонское местное отделение Ростовского регионального отделения общероссийской общественной организации инвалидов «Всероссийское общество глухих»</w:t>
      </w:r>
      <w:r w:rsidR="004A4B3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Общественное движение «Волгодонск», </w:t>
      </w:r>
      <w:r w:rsidR="00344D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общественная организация ветеранов (пенсионеров) войны, труда, вооруженных сил  и правоохранительных органов «Волгодонской городской Совет ветеранов»</w:t>
      </w:r>
      <w:r w:rsidR="004A4B3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4D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Волгодонская городская общественная организация инвалидов Чернобыля и других радиационных катастроф  «Ликвидатор»</w:t>
      </w:r>
      <w:r w:rsidR="004A4B3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 граждан по проблемам ЖКХ</w:t>
      </w:r>
      <w:r w:rsidR="004A4B3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1E23" w:rsidRPr="00060ECD" w:rsidRDefault="00AF02C9" w:rsidP="00C93F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Центра общественных организаций в 2013 году с участием Мэра города Волгодонска, представителей Администрации города Волгодонска было проведено </w:t>
      </w:r>
      <w:r w:rsidR="001F1E23"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16 мероприятий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1E23" w:rsidRPr="00060ECD" w:rsidRDefault="001F1E23" w:rsidP="00B01492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Мэром города Волгодонска представителей творческой интеллигенции;</w:t>
      </w:r>
    </w:p>
    <w:p w:rsidR="003A3F62" w:rsidRPr="00060ECD" w:rsidRDefault="001F1E23" w:rsidP="00B01492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встречи Мэра города Волгодонска с членами </w:t>
      </w:r>
      <w:r w:rsidR="003A3F6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Региональной общественной организации содействия защите прав пострадавших от теракта  «Волга-Дон»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активом </w:t>
      </w:r>
      <w:r w:rsidR="003A3F6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общественной организации ветеранов (пенсионеров) войны, труда, вооруженных сил и правоохранительных органов «Волгодонской городской Совет ветеранов»;</w:t>
      </w:r>
    </w:p>
    <w:p w:rsidR="001F1E23" w:rsidRPr="00060ECD" w:rsidRDefault="001F1E23" w:rsidP="00B01492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 публичных слушаний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проектам решений Волгодонской городской Думы, в их числе: </w:t>
      </w:r>
      <w:r w:rsidR="00BB5100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Правил землепользования и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застройки муниципального образования городского округа «Город Волгодонск», </w:t>
      </w:r>
      <w:r w:rsidR="00BB5100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</w:t>
      </w:r>
      <w:r w:rsidR="00BB5100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планировки и застройки территории вдоль Ростовского шоссе в городе Волгодонске Ростовской области», по обсуждению проекта постановления Администрации города Волгодонска «Об утверждении проекта планировки территории СОНТ «Атоммашевец» в городе Волгодонске Ростовской области», об утверждении проекта планировки территории СНТ «Дон» в  городе Волгодонске Ростовской области»,  проекты решения ВГД по рекламе;</w:t>
      </w:r>
    </w:p>
    <w:p w:rsidR="001F1E23" w:rsidRPr="00060ECD" w:rsidRDefault="001F1E23" w:rsidP="00B01492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«Круглы</w:t>
      </w:r>
      <w:r w:rsidR="00BB5100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стол»</w:t>
      </w:r>
      <w:r w:rsidR="00BB5100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по проблемам инвалидов и инвалидности (май, декабрь 2013</w:t>
      </w:r>
      <w:r w:rsidR="003A3F6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5100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E23" w:rsidRPr="00060ECD" w:rsidRDefault="00E97B71" w:rsidP="00C93FE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Центр является основным местом проведения заседаний Координационного совета Общественной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Волгодонска</w:t>
      </w:r>
      <w:r w:rsidR="00F92ECF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мероприятий ее секторов,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групп, официальных встреч, приемов граждан. 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04A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 году по инициативе Общественной палаты </w:t>
      </w:r>
      <w:r w:rsidR="00F92ECF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более </w:t>
      </w:r>
      <w:r w:rsidR="001F1E23"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65 мероприятий</w:t>
      </w:r>
      <w:r w:rsidRPr="00060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707498" w:rsidRPr="00060ECD" w:rsidRDefault="00707498" w:rsidP="0070749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Центра общественных организаций формируется с учетом предложений руководителей СО НКО и инициативных групп граждан. На базе Центра активно ведут свою деятельность </w:t>
      </w:r>
      <w:r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свыше 45 СО НКО, общественных объединений и инициативных групп.</w:t>
      </w:r>
      <w:r w:rsidRPr="00060E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их инициативе в  2013 году проведено </w:t>
      </w:r>
      <w:r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более 150 мероприятий</w:t>
      </w:r>
      <w:r w:rsidRPr="00060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2752" w:rsidRPr="00060ECD" w:rsidRDefault="00DB02CE" w:rsidP="00C93FE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в 2013 году 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</w:t>
      </w:r>
      <w:r w:rsidR="00E97B71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представительство</w:t>
      </w:r>
      <w:r w:rsidR="00E97B71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региональной общественной организации инвалидов «Ростовское областное диабетическое общество»</w:t>
      </w:r>
      <w:r w:rsidR="00E97B71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– В.В. 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Тарасенко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проведено </w:t>
      </w:r>
      <w:r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62 мероприятия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</w:t>
      </w:r>
      <w:r w:rsidR="00E97B71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ой городской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 w:rsidR="00E97B71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E97B71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 Чернобыля и других радиационных катастроф «Ликвидатор» (председатель Фомин А</w:t>
      </w:r>
      <w:r w:rsidR="00E97B71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97B71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38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Городской общественной организацией ветеранов (пенсионеров) войны, труда, вооруженных сил  и правоохранительных органов  «Волгодонской городской Совет ветеранов» (председатель </w:t>
      </w:r>
      <w:r w:rsidR="00FB5B1B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B1B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В.С. Мельников)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60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B5B1B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Волгодонским городским отделением Ростовского областного отделения Всероссийской общественной </w:t>
      </w:r>
      <w:r w:rsidR="00FB5B1B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ветеранов «Боевое братство» (руководитель – Ю.Ю. Богачев) – 59</w:t>
      </w:r>
      <w:r w:rsidR="0014275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2752" w:rsidRPr="00060ECD" w:rsidRDefault="00FB5B1B" w:rsidP="00C93FE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общественно-культурной организацией «Общество художников Дона» (председатель – Н.Е. Воронина) </w:t>
      </w:r>
      <w:r w:rsidR="0014275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организовано </w:t>
      </w:r>
      <w:r w:rsidR="00142752"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1F1E23"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выставок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работ художников, </w:t>
      </w:r>
      <w:r w:rsidR="001F1E23"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 фотовы</w:t>
      </w:r>
      <w:r w:rsidR="00142752"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ставки</w:t>
      </w:r>
      <w:r w:rsidR="0014275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посвященные Дню Победы, 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14275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</w:t>
      </w:r>
      <w:r w:rsidR="001F1E23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Волгодонского судоходного канала и Цимлянского водохранилища</w:t>
      </w:r>
      <w:r w:rsidR="0089665C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E23" w:rsidRPr="00060ECD" w:rsidRDefault="001F1E23" w:rsidP="00C93FE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 на базе Центра общественных организаций проводились презентации </w:t>
      </w:r>
      <w:r w:rsidR="0089665C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созданных в 2013 году СО НКО</w:t>
      </w:r>
      <w:r w:rsidR="001F2BD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клубов по интересам, праздничные мероприятия, посвященные социально-значимым датам</w:t>
      </w:r>
      <w:r w:rsidR="001F2BD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8D9" w:rsidRPr="00060ECD" w:rsidRDefault="005B38D9" w:rsidP="00C93FE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общественных организаций ведет активное сотрудничество со СМИ города. Мероприятия регулярно освещаются местными </w:t>
      </w:r>
      <w:r w:rsidR="00A71404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газетами и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телекомпаниями</w:t>
      </w:r>
      <w:r w:rsidR="00A71404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3EB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71404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«ТНТ», «АНК», «ВТВ»</w:t>
      </w:r>
      <w:r w:rsidR="007B43EB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1404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позволяет широко информировать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404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жителей о работе городских СО НКО.</w:t>
      </w:r>
    </w:p>
    <w:p w:rsidR="001F1E23" w:rsidRPr="00060ECD" w:rsidRDefault="001F1E23" w:rsidP="00C93FE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 реализации прав граждан на индивидуальные и коллективные обращения в </w:t>
      </w:r>
      <w:r w:rsidR="004519CC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в 2013 году на базе Центра</w:t>
      </w:r>
      <w:r w:rsidR="001025D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осуществляла свою работу Общественная приемная Мэра города Волгодонска: поступило </w:t>
      </w:r>
      <w:r w:rsidRPr="00060E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более 35 обращений граждан</w:t>
      </w:r>
      <w:r w:rsidR="008A6392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25D9" w:rsidRPr="00060ECD" w:rsidRDefault="001F1E23" w:rsidP="00C93FE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жителям города Волгодонска </w:t>
      </w:r>
      <w:r w:rsidR="001025D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на базе Центра общественных организаций</w:t>
      </w:r>
      <w:r w:rsidR="00951ABA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(руководитель правового сектора Общественной палаты города Волгодонска А.А. Козоброд)</w:t>
      </w:r>
      <w:r w:rsidR="001025D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Центра оказания правовой помощи «Правосудие»</w:t>
      </w:r>
      <w:r w:rsidR="001A458F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51ABA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юристы В.П. Звездилин и  М.В. Шабаданова) 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оказывалась помощь в получении бесплатн</w:t>
      </w:r>
      <w:r w:rsidR="001025D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</w:t>
      </w:r>
      <w:r w:rsidR="001025D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</w:t>
      </w:r>
      <w:r w:rsidR="001025D9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A458F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3FE5" w:rsidRPr="00060ECD" w:rsidRDefault="00795FA7" w:rsidP="00C93FE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/>
          <w:color w:val="000000" w:themeColor="text1"/>
          <w:sz w:val="28"/>
          <w:szCs w:val="28"/>
        </w:rPr>
        <w:t>В 2014</w:t>
      </w:r>
      <w:r w:rsidR="00C93FE5" w:rsidRPr="00060ECD">
        <w:rPr>
          <w:rFonts w:ascii="Times New Roman" w:hAnsi="Times New Roman"/>
          <w:color w:val="000000" w:themeColor="text1"/>
          <w:sz w:val="28"/>
          <w:szCs w:val="28"/>
        </w:rPr>
        <w:t xml:space="preserve"> году в роботе Центра общественных организаций планируется уделить особое внимание таким направлениям как:</w:t>
      </w:r>
    </w:p>
    <w:p w:rsidR="00C93FE5" w:rsidRPr="00060ECD" w:rsidRDefault="00C93FE5" w:rsidP="00C93FE5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/>
          <w:color w:val="000000" w:themeColor="text1"/>
          <w:sz w:val="28"/>
          <w:szCs w:val="28"/>
        </w:rPr>
        <w:t>развитие межсекторного социального партнерства;</w:t>
      </w:r>
    </w:p>
    <w:p w:rsidR="00C93FE5" w:rsidRPr="00060ECD" w:rsidRDefault="00C93FE5" w:rsidP="00C93FE5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/>
          <w:color w:val="000000" w:themeColor="text1"/>
          <w:sz w:val="28"/>
          <w:szCs w:val="28"/>
        </w:rPr>
        <w:t>социальное проектирование и участие в грантовых конкурсах, направленных на поддержку СО НКО;</w:t>
      </w:r>
    </w:p>
    <w:p w:rsidR="00C93FE5" w:rsidRPr="00060ECD" w:rsidRDefault="00C93FE5" w:rsidP="00C93FE5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/>
          <w:color w:val="000000" w:themeColor="text1"/>
          <w:sz w:val="28"/>
          <w:szCs w:val="28"/>
        </w:rPr>
        <w:lastRenderedPageBreak/>
        <w:t>оказание консультационной, информационной и методической помощи СО НКО по вопросам их деятельности и взаимодействию с органами местного самоуправления;</w:t>
      </w:r>
    </w:p>
    <w:p w:rsidR="00C93FE5" w:rsidRPr="00060ECD" w:rsidRDefault="00C93FE5" w:rsidP="00C93FE5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/>
          <w:color w:val="000000" w:themeColor="text1"/>
          <w:sz w:val="28"/>
          <w:szCs w:val="28"/>
        </w:rPr>
        <w:t>развитие практик гражданского участия населения в разрешении вопросов местного значения.</w:t>
      </w:r>
    </w:p>
    <w:p w:rsidR="001025D9" w:rsidRPr="00060ECD" w:rsidRDefault="001025D9" w:rsidP="00C93FE5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5D9" w:rsidRPr="00060ECD" w:rsidRDefault="001025D9" w:rsidP="00C93FE5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E23" w:rsidRPr="00060ECD" w:rsidRDefault="001F1E23" w:rsidP="00C93FE5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110D1"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0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3A44" w:rsidRPr="00D73A44" w:rsidRDefault="00D73A44" w:rsidP="00C93F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3A44" w:rsidRPr="00D73A44" w:rsidSect="009001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3E" w:rsidRDefault="00802F3E" w:rsidP="00A60562">
      <w:pPr>
        <w:spacing w:after="0" w:line="240" w:lineRule="auto"/>
      </w:pPr>
      <w:r>
        <w:separator/>
      </w:r>
    </w:p>
  </w:endnote>
  <w:endnote w:type="continuationSeparator" w:id="1">
    <w:p w:rsidR="00802F3E" w:rsidRDefault="00802F3E" w:rsidP="00A6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0516"/>
      <w:docPartObj>
        <w:docPartGallery w:val="Page Numbers (Bottom of Page)"/>
        <w:docPartUnique/>
      </w:docPartObj>
    </w:sdtPr>
    <w:sdtContent>
      <w:p w:rsidR="00A71404" w:rsidRDefault="005C132D">
        <w:pPr>
          <w:pStyle w:val="a7"/>
          <w:jc w:val="right"/>
        </w:pPr>
        <w:r w:rsidRPr="00EB17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1404" w:rsidRPr="00EB17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17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12B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EB17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1404" w:rsidRDefault="00A714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3E" w:rsidRDefault="00802F3E" w:rsidP="00A60562">
      <w:pPr>
        <w:spacing w:after="0" w:line="240" w:lineRule="auto"/>
      </w:pPr>
      <w:r>
        <w:separator/>
      </w:r>
    </w:p>
  </w:footnote>
  <w:footnote w:type="continuationSeparator" w:id="1">
    <w:p w:rsidR="00802F3E" w:rsidRDefault="00802F3E" w:rsidP="00A6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B2C"/>
    <w:multiLevelType w:val="hybridMultilevel"/>
    <w:tmpl w:val="C57CA828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84D56"/>
    <w:multiLevelType w:val="hybridMultilevel"/>
    <w:tmpl w:val="2A7E974A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E53EC"/>
    <w:multiLevelType w:val="hybridMultilevel"/>
    <w:tmpl w:val="AEB6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03C92"/>
    <w:multiLevelType w:val="hybridMultilevel"/>
    <w:tmpl w:val="DD3E3E20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3A1BEA"/>
    <w:multiLevelType w:val="hybridMultilevel"/>
    <w:tmpl w:val="5E869408"/>
    <w:lvl w:ilvl="0" w:tplc="C6B82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13987"/>
    <w:multiLevelType w:val="hybridMultilevel"/>
    <w:tmpl w:val="83F4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11CBD"/>
    <w:multiLevelType w:val="hybridMultilevel"/>
    <w:tmpl w:val="8EACD4CA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072070"/>
    <w:multiLevelType w:val="hybridMultilevel"/>
    <w:tmpl w:val="CF0EFA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959C4"/>
    <w:multiLevelType w:val="hybridMultilevel"/>
    <w:tmpl w:val="907086F4"/>
    <w:lvl w:ilvl="0" w:tplc="1F3491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441F8"/>
    <w:multiLevelType w:val="hybridMultilevel"/>
    <w:tmpl w:val="1232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2401C"/>
    <w:multiLevelType w:val="hybridMultilevel"/>
    <w:tmpl w:val="96B8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F24D3"/>
    <w:multiLevelType w:val="hybridMultilevel"/>
    <w:tmpl w:val="9A6C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635F3"/>
    <w:multiLevelType w:val="hybridMultilevel"/>
    <w:tmpl w:val="E2AC77E8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85988"/>
    <w:multiLevelType w:val="hybridMultilevel"/>
    <w:tmpl w:val="F260031A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0E0903"/>
    <w:multiLevelType w:val="hybridMultilevel"/>
    <w:tmpl w:val="F320C166"/>
    <w:lvl w:ilvl="0" w:tplc="42EA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DC3AE4"/>
    <w:multiLevelType w:val="hybridMultilevel"/>
    <w:tmpl w:val="4B7C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A0540"/>
    <w:multiLevelType w:val="hybridMultilevel"/>
    <w:tmpl w:val="184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6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4F1"/>
    <w:rsid w:val="00001636"/>
    <w:rsid w:val="00030EE3"/>
    <w:rsid w:val="00036ADE"/>
    <w:rsid w:val="00037A64"/>
    <w:rsid w:val="00052883"/>
    <w:rsid w:val="00060ECD"/>
    <w:rsid w:val="00067FA4"/>
    <w:rsid w:val="00076617"/>
    <w:rsid w:val="000776CB"/>
    <w:rsid w:val="00080BD4"/>
    <w:rsid w:val="00080D91"/>
    <w:rsid w:val="00082EFA"/>
    <w:rsid w:val="00087BAF"/>
    <w:rsid w:val="000A66F9"/>
    <w:rsid w:val="000B239F"/>
    <w:rsid w:val="000B30E8"/>
    <w:rsid w:val="000B78DB"/>
    <w:rsid w:val="000E110D"/>
    <w:rsid w:val="001025D9"/>
    <w:rsid w:val="00113C0E"/>
    <w:rsid w:val="0012413E"/>
    <w:rsid w:val="00142752"/>
    <w:rsid w:val="00142DED"/>
    <w:rsid w:val="00150F7A"/>
    <w:rsid w:val="00153524"/>
    <w:rsid w:val="001669DE"/>
    <w:rsid w:val="0018603E"/>
    <w:rsid w:val="001913EA"/>
    <w:rsid w:val="00191CDE"/>
    <w:rsid w:val="001A458F"/>
    <w:rsid w:val="001E3211"/>
    <w:rsid w:val="001E5D4A"/>
    <w:rsid w:val="001F1E23"/>
    <w:rsid w:val="001F2BD9"/>
    <w:rsid w:val="0020371E"/>
    <w:rsid w:val="00206592"/>
    <w:rsid w:val="002073AD"/>
    <w:rsid w:val="002140E3"/>
    <w:rsid w:val="00220239"/>
    <w:rsid w:val="002239A7"/>
    <w:rsid w:val="00237DBC"/>
    <w:rsid w:val="00242706"/>
    <w:rsid w:val="00263839"/>
    <w:rsid w:val="00273D7E"/>
    <w:rsid w:val="00285C5A"/>
    <w:rsid w:val="002879CE"/>
    <w:rsid w:val="002C6288"/>
    <w:rsid w:val="002E25E5"/>
    <w:rsid w:val="002E6CE6"/>
    <w:rsid w:val="002F2767"/>
    <w:rsid w:val="0032109F"/>
    <w:rsid w:val="00322941"/>
    <w:rsid w:val="003377B5"/>
    <w:rsid w:val="00344D92"/>
    <w:rsid w:val="00356E9D"/>
    <w:rsid w:val="00373C8E"/>
    <w:rsid w:val="00374762"/>
    <w:rsid w:val="00376582"/>
    <w:rsid w:val="00385036"/>
    <w:rsid w:val="00386477"/>
    <w:rsid w:val="003A04A6"/>
    <w:rsid w:val="003A3F62"/>
    <w:rsid w:val="003B3DDE"/>
    <w:rsid w:val="003B61EA"/>
    <w:rsid w:val="003B7830"/>
    <w:rsid w:val="004231C7"/>
    <w:rsid w:val="00425728"/>
    <w:rsid w:val="004342C5"/>
    <w:rsid w:val="0043592C"/>
    <w:rsid w:val="004519CC"/>
    <w:rsid w:val="00481645"/>
    <w:rsid w:val="00492548"/>
    <w:rsid w:val="004A4B39"/>
    <w:rsid w:val="004A578A"/>
    <w:rsid w:val="004C6C21"/>
    <w:rsid w:val="004D6FF3"/>
    <w:rsid w:val="00503FE3"/>
    <w:rsid w:val="00514DE5"/>
    <w:rsid w:val="00525F10"/>
    <w:rsid w:val="00533F5A"/>
    <w:rsid w:val="00535BDA"/>
    <w:rsid w:val="005658E7"/>
    <w:rsid w:val="005801C4"/>
    <w:rsid w:val="00591667"/>
    <w:rsid w:val="005B38D9"/>
    <w:rsid w:val="005B6FA8"/>
    <w:rsid w:val="005C132D"/>
    <w:rsid w:val="005C7082"/>
    <w:rsid w:val="005E4CE0"/>
    <w:rsid w:val="005E652B"/>
    <w:rsid w:val="005F3D41"/>
    <w:rsid w:val="005F5BF4"/>
    <w:rsid w:val="006124C3"/>
    <w:rsid w:val="00617D54"/>
    <w:rsid w:val="0062584C"/>
    <w:rsid w:val="006264C9"/>
    <w:rsid w:val="0063653A"/>
    <w:rsid w:val="00644619"/>
    <w:rsid w:val="0064638C"/>
    <w:rsid w:val="00653071"/>
    <w:rsid w:val="00657A90"/>
    <w:rsid w:val="00662CBB"/>
    <w:rsid w:val="00671601"/>
    <w:rsid w:val="006734A2"/>
    <w:rsid w:val="006754F7"/>
    <w:rsid w:val="006B196A"/>
    <w:rsid w:val="006B453D"/>
    <w:rsid w:val="006E3DA8"/>
    <w:rsid w:val="006F3A9C"/>
    <w:rsid w:val="006F6C66"/>
    <w:rsid w:val="00707498"/>
    <w:rsid w:val="00720675"/>
    <w:rsid w:val="00721C0C"/>
    <w:rsid w:val="007400AF"/>
    <w:rsid w:val="00751446"/>
    <w:rsid w:val="0078225F"/>
    <w:rsid w:val="007952C8"/>
    <w:rsid w:val="00795FA7"/>
    <w:rsid w:val="007A149C"/>
    <w:rsid w:val="007B43EB"/>
    <w:rsid w:val="007D04F1"/>
    <w:rsid w:val="007E2735"/>
    <w:rsid w:val="007E740A"/>
    <w:rsid w:val="007F4E8D"/>
    <w:rsid w:val="007F7690"/>
    <w:rsid w:val="00802F3E"/>
    <w:rsid w:val="00803E77"/>
    <w:rsid w:val="00810813"/>
    <w:rsid w:val="00815D81"/>
    <w:rsid w:val="00843982"/>
    <w:rsid w:val="0084625A"/>
    <w:rsid w:val="00853DD2"/>
    <w:rsid w:val="0089665C"/>
    <w:rsid w:val="008A2F2C"/>
    <w:rsid w:val="008A6392"/>
    <w:rsid w:val="008D3565"/>
    <w:rsid w:val="008D55BC"/>
    <w:rsid w:val="009001A8"/>
    <w:rsid w:val="00920EE2"/>
    <w:rsid w:val="00927291"/>
    <w:rsid w:val="00934C8C"/>
    <w:rsid w:val="00951ABA"/>
    <w:rsid w:val="00953D71"/>
    <w:rsid w:val="00954090"/>
    <w:rsid w:val="00955FC4"/>
    <w:rsid w:val="00965295"/>
    <w:rsid w:val="009754E1"/>
    <w:rsid w:val="009922FE"/>
    <w:rsid w:val="00993155"/>
    <w:rsid w:val="00994143"/>
    <w:rsid w:val="009B05E6"/>
    <w:rsid w:val="009B5F91"/>
    <w:rsid w:val="009C1538"/>
    <w:rsid w:val="009D5613"/>
    <w:rsid w:val="00A110D1"/>
    <w:rsid w:val="00A40093"/>
    <w:rsid w:val="00A50F0A"/>
    <w:rsid w:val="00A56FAC"/>
    <w:rsid w:val="00A602FF"/>
    <w:rsid w:val="00A60562"/>
    <w:rsid w:val="00A612E1"/>
    <w:rsid w:val="00A621D1"/>
    <w:rsid w:val="00A71404"/>
    <w:rsid w:val="00A90578"/>
    <w:rsid w:val="00A93771"/>
    <w:rsid w:val="00AB254C"/>
    <w:rsid w:val="00AC2034"/>
    <w:rsid w:val="00AC77FF"/>
    <w:rsid w:val="00AD1DAD"/>
    <w:rsid w:val="00AF02C9"/>
    <w:rsid w:val="00B01492"/>
    <w:rsid w:val="00B123E1"/>
    <w:rsid w:val="00B1645F"/>
    <w:rsid w:val="00B25E95"/>
    <w:rsid w:val="00B33227"/>
    <w:rsid w:val="00B52BA4"/>
    <w:rsid w:val="00B619CA"/>
    <w:rsid w:val="00B73DA2"/>
    <w:rsid w:val="00BB5100"/>
    <w:rsid w:val="00BB7607"/>
    <w:rsid w:val="00BD0448"/>
    <w:rsid w:val="00BE5471"/>
    <w:rsid w:val="00BF2427"/>
    <w:rsid w:val="00C06727"/>
    <w:rsid w:val="00C13E0A"/>
    <w:rsid w:val="00C268D1"/>
    <w:rsid w:val="00C34961"/>
    <w:rsid w:val="00C734C3"/>
    <w:rsid w:val="00C74EBD"/>
    <w:rsid w:val="00C802BD"/>
    <w:rsid w:val="00C93FE5"/>
    <w:rsid w:val="00CA578D"/>
    <w:rsid w:val="00CB4EAE"/>
    <w:rsid w:val="00CF6F0C"/>
    <w:rsid w:val="00D14A3E"/>
    <w:rsid w:val="00D301A4"/>
    <w:rsid w:val="00D30C4A"/>
    <w:rsid w:val="00D3568F"/>
    <w:rsid w:val="00D36009"/>
    <w:rsid w:val="00D37BD4"/>
    <w:rsid w:val="00D62B05"/>
    <w:rsid w:val="00D73585"/>
    <w:rsid w:val="00D73A44"/>
    <w:rsid w:val="00D93D78"/>
    <w:rsid w:val="00DA37EB"/>
    <w:rsid w:val="00DA57C9"/>
    <w:rsid w:val="00DA677D"/>
    <w:rsid w:val="00DB02CE"/>
    <w:rsid w:val="00DC4118"/>
    <w:rsid w:val="00DE12BB"/>
    <w:rsid w:val="00DE1A85"/>
    <w:rsid w:val="00DF2680"/>
    <w:rsid w:val="00DF2CCD"/>
    <w:rsid w:val="00E1301B"/>
    <w:rsid w:val="00E409DB"/>
    <w:rsid w:val="00E66537"/>
    <w:rsid w:val="00E7463F"/>
    <w:rsid w:val="00E74F74"/>
    <w:rsid w:val="00E75638"/>
    <w:rsid w:val="00E82800"/>
    <w:rsid w:val="00E856D8"/>
    <w:rsid w:val="00E97B71"/>
    <w:rsid w:val="00EA0F91"/>
    <w:rsid w:val="00EA5943"/>
    <w:rsid w:val="00EA7F03"/>
    <w:rsid w:val="00EB17CB"/>
    <w:rsid w:val="00EB7E20"/>
    <w:rsid w:val="00EC004A"/>
    <w:rsid w:val="00EF0DA3"/>
    <w:rsid w:val="00F2477A"/>
    <w:rsid w:val="00F8091E"/>
    <w:rsid w:val="00F92ECF"/>
    <w:rsid w:val="00F94A5F"/>
    <w:rsid w:val="00FB08F4"/>
    <w:rsid w:val="00FB4CD7"/>
    <w:rsid w:val="00FB5B1B"/>
    <w:rsid w:val="00FC7FF1"/>
    <w:rsid w:val="00FE7876"/>
    <w:rsid w:val="00FF010B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A8"/>
  </w:style>
  <w:style w:type="paragraph" w:styleId="1">
    <w:name w:val="heading 1"/>
    <w:basedOn w:val="a"/>
    <w:next w:val="a"/>
    <w:link w:val="10"/>
    <w:uiPriority w:val="9"/>
    <w:qFormat/>
    <w:rsid w:val="0095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">
    <w:name w:val="font8"/>
    <w:basedOn w:val="a0"/>
    <w:rsid w:val="007D04F1"/>
  </w:style>
  <w:style w:type="paragraph" w:customStyle="1" w:styleId="Default">
    <w:name w:val="Default"/>
    <w:rsid w:val="00D14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4A3E"/>
    <w:pPr>
      <w:ind w:left="720"/>
      <w:contextualSpacing/>
    </w:pPr>
  </w:style>
  <w:style w:type="paragraph" w:customStyle="1" w:styleId="ConsPlusNormal">
    <w:name w:val="ConsPlusNormal"/>
    <w:rsid w:val="00D14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14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6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562"/>
  </w:style>
  <w:style w:type="paragraph" w:styleId="a7">
    <w:name w:val="footer"/>
    <w:basedOn w:val="a"/>
    <w:link w:val="a8"/>
    <w:uiPriority w:val="99"/>
    <w:unhideWhenUsed/>
    <w:rsid w:val="00A6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562"/>
  </w:style>
  <w:style w:type="paragraph" w:styleId="a9">
    <w:name w:val="No Spacing"/>
    <w:uiPriority w:val="1"/>
    <w:qFormat/>
    <w:rsid w:val="00D30C4A"/>
    <w:pPr>
      <w:spacing w:after="0" w:line="240" w:lineRule="auto"/>
    </w:pPr>
  </w:style>
  <w:style w:type="paragraph" w:customStyle="1" w:styleId="rvps5">
    <w:name w:val="rvps5"/>
    <w:basedOn w:val="a"/>
    <w:rsid w:val="005E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5E652B"/>
  </w:style>
  <w:style w:type="paragraph" w:styleId="aa">
    <w:name w:val="Normal (Web)"/>
    <w:basedOn w:val="a"/>
    <w:uiPriority w:val="99"/>
    <w:unhideWhenUsed/>
    <w:rsid w:val="0095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71E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A5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e">
    <w:name w:val="Название Знак"/>
    <w:basedOn w:val="a0"/>
    <w:link w:val="ad"/>
    <w:rsid w:val="00CA57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</cp:revision>
  <cp:lastPrinted>2014-02-21T06:40:00Z</cp:lastPrinted>
  <dcterms:created xsi:type="dcterms:W3CDTF">2014-02-25T12:09:00Z</dcterms:created>
  <dcterms:modified xsi:type="dcterms:W3CDTF">2014-02-25T12:09:00Z</dcterms:modified>
</cp:coreProperties>
</file>