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804B1E"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Целевым статьям расходов бюджета присваиваются коды, сформированные с применением </w:t>
      </w:r>
      <w:r w:rsidR="000C3B8F" w:rsidRPr="0057175B">
        <w:rPr>
          <w:color w:val="000000"/>
          <w:sz w:val="28"/>
          <w:szCs w:val="28"/>
        </w:rPr>
        <w:t xml:space="preserve">буквенно - </w:t>
      </w:r>
      <w:r w:rsidRPr="0057175B">
        <w:rPr>
          <w:color w:val="000000"/>
          <w:sz w:val="28"/>
          <w:szCs w:val="28"/>
        </w:rPr>
        <w:t xml:space="preserve">цифрового ряда: </w:t>
      </w:r>
      <w:r w:rsidR="000C3B8F" w:rsidRPr="0057175B">
        <w:rPr>
          <w:rFonts w:eastAsia="Calibri"/>
          <w:color w:val="000000"/>
          <w:sz w:val="28"/>
          <w:szCs w:val="28"/>
          <w:lang w:eastAsia="en-US"/>
        </w:rPr>
        <w:t xml:space="preserve">0, 1, 2, 3, 4, 5, 6, 7, 8, 9, </w:t>
      </w:r>
      <w:r w:rsidR="000C3B8F" w:rsidRPr="0057175B">
        <w:rPr>
          <w:rFonts w:eastAsia="Calibri"/>
          <w:color w:val="000000"/>
          <w:sz w:val="28"/>
          <w:szCs w:val="28"/>
          <w:lang w:val="en-US" w:eastAsia="en-US"/>
        </w:rPr>
        <w:t>L</w:t>
      </w:r>
      <w:r w:rsidR="000C3B8F" w:rsidRPr="0057175B">
        <w:rPr>
          <w:rFonts w:eastAsia="Calibri"/>
          <w:color w:val="000000"/>
          <w:sz w:val="28"/>
          <w:szCs w:val="28"/>
          <w:lang w:eastAsia="en-US"/>
        </w:rPr>
        <w:t>,</w:t>
      </w:r>
      <w:r w:rsidR="000C3B8F" w:rsidRPr="0057175B">
        <w:rPr>
          <w:rFonts w:eastAsia="Calibri"/>
          <w:color w:val="000000"/>
          <w:sz w:val="28"/>
          <w:szCs w:val="28"/>
          <w:lang w:val="en-US" w:eastAsia="en-US"/>
        </w:rPr>
        <w:t>R</w:t>
      </w:r>
      <w:r w:rsidR="000C3B8F" w:rsidRPr="0057175B">
        <w:rPr>
          <w:rFonts w:eastAsia="Calibri"/>
          <w:color w:val="000000"/>
          <w:sz w:val="28"/>
          <w:szCs w:val="28"/>
          <w:lang w:eastAsia="en-US"/>
        </w:rPr>
        <w:t>,</w:t>
      </w:r>
      <w:r w:rsidR="000C3B8F" w:rsidRPr="0057175B">
        <w:rPr>
          <w:rFonts w:eastAsia="Calibri"/>
          <w:color w:val="000000"/>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9375B2" w:rsidRPr="0057175B" w:rsidRDefault="009375B2" w:rsidP="009375B2">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lastRenderedPageBreak/>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 xml:space="preserve">реализацию мероприятий по улучшению обеспечения муниципальных учреждений здравоохранения города Волгодонска </w:t>
      </w:r>
      <w:r w:rsidRPr="0057175B">
        <w:rPr>
          <w:rFonts w:eastAsia="Calibri"/>
          <w:color w:val="000000"/>
          <w:sz w:val="28"/>
          <w:szCs w:val="28"/>
        </w:rPr>
        <w:lastRenderedPageBreak/>
        <w:t>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Pr="0057175B" w:rsidRDefault="00D578D8" w:rsidP="00D578D8">
      <w:pPr>
        <w:ind w:firstLine="709"/>
        <w:jc w:val="both"/>
        <w:rPr>
          <w:rFonts w:eastAsia="Calibri"/>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57175B" w:rsidRDefault="00744D05" w:rsidP="00461385">
      <w:pPr>
        <w:ind w:firstLine="709"/>
        <w:jc w:val="both"/>
        <w:rPr>
          <w:rFonts w:eastAsia="Calibri"/>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lastRenderedPageBreak/>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57175B" w:rsidRDefault="00E8423A" w:rsidP="00E8423A">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w:t>
      </w:r>
      <w:r w:rsidR="00EB7F70" w:rsidRPr="0057175B">
        <w:rPr>
          <w:color w:val="000000"/>
          <w:sz w:val="28"/>
          <w:szCs w:val="28"/>
        </w:rPr>
        <w:lastRenderedPageBreak/>
        <w:t>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57175B" w:rsidRDefault="00EB7F70" w:rsidP="005E3BC3">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lastRenderedPageBreak/>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57175B"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lastRenderedPageBreak/>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57175B"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57175B">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2B7E71"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2B7E71"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2B7E71"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 xml:space="preserve">Социальная </w:t>
      </w:r>
      <w:r w:rsidRPr="0057175B">
        <w:rPr>
          <w:snapToGrid w:val="0"/>
          <w:color w:val="000000"/>
          <w:sz w:val="28"/>
          <w:szCs w:val="28"/>
        </w:rPr>
        <w:lastRenderedPageBreak/>
        <w:t>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w:t>
      </w:r>
      <w:r w:rsidRPr="0057175B">
        <w:rPr>
          <w:color w:val="000000"/>
          <w:sz w:val="28"/>
          <w:szCs w:val="28"/>
        </w:rPr>
        <w:lastRenderedPageBreak/>
        <w:t>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Расходы </w:t>
      </w:r>
      <w:r w:rsidR="00EB1544" w:rsidRPr="0057175B">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57175B" w:rsidRDefault="005E3BC3" w:rsidP="001F7E18">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lang w:eastAsia="en-US"/>
        </w:rPr>
        <w:t xml:space="preserve">на осуществление полномочий </w:t>
      </w:r>
      <w:r w:rsidR="00EB1544" w:rsidRPr="0057175B">
        <w:rPr>
          <w:rFonts w:eastAsia="Calibri"/>
          <w:color w:val="000000"/>
          <w:sz w:val="28"/>
          <w:szCs w:val="28"/>
        </w:rPr>
        <w:t xml:space="preserve">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w:t>
      </w:r>
      <w:r w:rsidR="00EB1544" w:rsidRPr="0057175B">
        <w:rPr>
          <w:rFonts w:eastAsia="Calibri"/>
          <w:color w:val="000000"/>
          <w:sz w:val="28"/>
          <w:szCs w:val="28"/>
        </w:rPr>
        <w:lastRenderedPageBreak/>
        <w:t>достижения ребенком возраста трех лет</w:t>
      </w:r>
      <w:r w:rsidRPr="0057175B">
        <w:rPr>
          <w:rFonts w:eastAsia="Calibri"/>
          <w:color w:val="000000"/>
          <w:sz w:val="28"/>
          <w:szCs w:val="28"/>
          <w:lang w:eastAsia="en-US"/>
        </w:rPr>
        <w:t>, осуществляемые за счет субвенций из областного бюджета,</w:t>
      </w:r>
      <w:r w:rsidR="001F7E18" w:rsidRPr="0057175B">
        <w:rPr>
          <w:rFonts w:eastAsia="Calibri"/>
          <w:color w:val="000000"/>
          <w:sz w:val="28"/>
          <w:szCs w:val="28"/>
          <w:lang w:eastAsia="en-US"/>
        </w:rPr>
        <w:t xml:space="preserve">  </w:t>
      </w:r>
      <w:r w:rsidR="001F7E18"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1F7E18" w:rsidRPr="0057175B" w:rsidRDefault="001F7E18" w:rsidP="001F7E18">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lastRenderedPageBreak/>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A94EFF" w:rsidRPr="0057175B" w:rsidRDefault="006D0626" w:rsidP="00A94EFF">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w:t>
      </w:r>
      <w:r w:rsidR="00A94EFF" w:rsidRPr="0057175B">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p>
    <w:p w:rsidR="006D0626" w:rsidRPr="0057175B" w:rsidRDefault="006D0626" w:rsidP="006D0626">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A94EFF" w:rsidRPr="0057175B">
        <w:rPr>
          <w:color w:val="000000"/>
          <w:sz w:val="28"/>
          <w:szCs w:val="28"/>
        </w:rPr>
        <w:t xml:space="preserve">выполнение полномочий Российской Федерации по осуществлению </w:t>
      </w:r>
      <w:r w:rsidRPr="0057175B">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w:t>
      </w:r>
      <w:r w:rsidRPr="0057175B">
        <w:rPr>
          <w:color w:val="000000"/>
          <w:sz w:val="28"/>
          <w:szCs w:val="28"/>
        </w:rPr>
        <w:lastRenderedPageBreak/>
        <w:t xml:space="preserve">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72160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 xml:space="preserve">Расходы </w:t>
      </w:r>
      <w:r w:rsidR="003D35B5" w:rsidRPr="0057175B">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w:t>
      </w:r>
      <w:r w:rsidR="003A7194" w:rsidRPr="0057175B">
        <w:rPr>
          <w:snapToGrid w:val="0"/>
          <w:color w:val="000000"/>
          <w:sz w:val="28"/>
          <w:szCs w:val="28"/>
        </w:rPr>
        <w:t xml:space="preserve">Расходы </w:t>
      </w:r>
      <w:r w:rsidR="003D35B5"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 xml:space="preserve">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AC01C2" w:rsidRPr="0057175B"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57175B" w:rsidRDefault="006557B5" w:rsidP="002343D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57175B" w:rsidRDefault="006557B5" w:rsidP="002343D6">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6557B5" w:rsidRPr="0057175B"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w:t>
      </w:r>
      <w:r w:rsidRPr="0057175B">
        <w:rPr>
          <w:rFonts w:eastAsia="Calibri"/>
          <w:color w:val="000000"/>
          <w:sz w:val="28"/>
          <w:szCs w:val="28"/>
          <w:lang w:eastAsia="en-US"/>
        </w:rPr>
        <w:lastRenderedPageBreak/>
        <w:t xml:space="preserve">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w:t>
      </w:r>
      <w:r w:rsidRPr="0057175B">
        <w:rPr>
          <w:color w:val="000000"/>
          <w:sz w:val="28"/>
          <w:szCs w:val="28"/>
        </w:rPr>
        <w:lastRenderedPageBreak/>
        <w:t>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23735F" w:rsidRPr="0057175B" w:rsidRDefault="0085320C" w:rsidP="0023735F">
      <w:pPr>
        <w:tabs>
          <w:tab w:val="left" w:pos="709"/>
        </w:tabs>
        <w:autoSpaceDE w:val="0"/>
        <w:autoSpaceDN w:val="0"/>
        <w:adjustRightInd w:val="0"/>
        <w:ind w:firstLine="709"/>
        <w:jc w:val="both"/>
        <w:rPr>
          <w:color w:val="000000"/>
          <w:sz w:val="28"/>
          <w:szCs w:val="28"/>
        </w:rPr>
      </w:pPr>
      <w:r w:rsidRPr="0057175B">
        <w:rPr>
          <w:color w:val="000000"/>
          <w:sz w:val="28"/>
          <w:szCs w:val="28"/>
          <w:lang w:val="en-US"/>
        </w:rPr>
        <w:t>L</w:t>
      </w:r>
      <w:r w:rsidRPr="0057175B">
        <w:rPr>
          <w:color w:val="000000"/>
          <w:sz w:val="28"/>
          <w:szCs w:val="28"/>
        </w:rPr>
        <w:t xml:space="preserve">0270 – </w:t>
      </w:r>
      <w:r w:rsidR="0023735F" w:rsidRPr="0057175B">
        <w:rPr>
          <w:color w:val="000000"/>
          <w:sz w:val="28"/>
          <w:szCs w:val="28"/>
        </w:rPr>
        <w:t xml:space="preserve">Расходы </w:t>
      </w:r>
      <w:r w:rsidR="005011F9" w:rsidRPr="0057175B">
        <w:rPr>
          <w:color w:val="000000"/>
          <w:sz w:val="28"/>
          <w:szCs w:val="28"/>
        </w:rPr>
        <w:t xml:space="preserve">на мероприятия государственной </w:t>
      </w:r>
      <w:hyperlink r:id="rId18" w:history="1">
        <w:r w:rsidR="005011F9" w:rsidRPr="0057175B">
          <w:rPr>
            <w:color w:val="000000"/>
            <w:sz w:val="28"/>
            <w:szCs w:val="28"/>
          </w:rPr>
          <w:t>программы</w:t>
        </w:r>
      </w:hyperlink>
      <w:r w:rsidR="005011F9" w:rsidRPr="0057175B">
        <w:rPr>
          <w:color w:val="000000"/>
          <w:sz w:val="28"/>
          <w:szCs w:val="28"/>
        </w:rPr>
        <w:t xml:space="preserve"> Российской Федерации </w:t>
      </w:r>
      <w:r w:rsidR="00D168F0" w:rsidRPr="0057175B">
        <w:rPr>
          <w:color w:val="000000"/>
          <w:sz w:val="28"/>
          <w:szCs w:val="28"/>
        </w:rPr>
        <w:t>«</w:t>
      </w:r>
      <w:r w:rsidR="005011F9" w:rsidRPr="0057175B">
        <w:rPr>
          <w:color w:val="000000"/>
          <w:sz w:val="28"/>
          <w:szCs w:val="28"/>
        </w:rPr>
        <w:t>Доступная среда</w:t>
      </w:r>
      <w:r w:rsidR="00D168F0" w:rsidRPr="0057175B">
        <w:rPr>
          <w:color w:val="000000"/>
          <w:sz w:val="28"/>
          <w:szCs w:val="28"/>
        </w:rPr>
        <w:t>»</w:t>
      </w:r>
      <w:r w:rsidR="005011F9" w:rsidRPr="0057175B">
        <w:rPr>
          <w:color w:val="000000"/>
          <w:sz w:val="28"/>
          <w:szCs w:val="28"/>
        </w:rPr>
        <w:t xml:space="preserve"> на 2011 - 2020 годы</w:t>
      </w:r>
    </w:p>
    <w:p w:rsidR="005E3BC3" w:rsidRPr="0057175B" w:rsidRDefault="0023735F" w:rsidP="0023735F">
      <w:pPr>
        <w:tabs>
          <w:tab w:val="left" w:pos="709"/>
        </w:tabs>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57175B" w:rsidRDefault="0023735F" w:rsidP="0023735F">
      <w:pPr>
        <w:autoSpaceDE w:val="0"/>
        <w:autoSpaceDN w:val="0"/>
        <w:adjustRightInd w:val="0"/>
        <w:ind w:firstLine="709"/>
        <w:jc w:val="both"/>
        <w:outlineLvl w:val="4"/>
        <w:rPr>
          <w:color w:val="000000"/>
          <w:sz w:val="28"/>
          <w:szCs w:val="28"/>
        </w:rPr>
      </w:pPr>
    </w:p>
    <w:p w:rsidR="008A1954" w:rsidRPr="0057175B" w:rsidRDefault="008A1954" w:rsidP="008A1954">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Расходы на мероприятия государственной программы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57175B" w:rsidRDefault="008A1954" w:rsidP="008A1954">
      <w:pPr>
        <w:tabs>
          <w:tab w:val="left" w:pos="709"/>
        </w:tabs>
        <w:autoSpaceDE w:val="0"/>
        <w:autoSpaceDN w:val="0"/>
        <w:adjustRightInd w:val="0"/>
        <w:ind w:firstLine="851"/>
        <w:jc w:val="both"/>
        <w:rPr>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реализацию мероприятий государственной </w:t>
      </w:r>
      <w:hyperlink r:id="rId20" w:history="1">
        <w:r w:rsidRPr="0057175B">
          <w:rPr>
            <w:color w:val="000000"/>
            <w:sz w:val="28"/>
            <w:szCs w:val="28"/>
          </w:rPr>
          <w:t>программы</w:t>
        </w:r>
      </w:hyperlink>
      <w:r w:rsidRPr="0057175B">
        <w:rPr>
          <w:color w:val="000000"/>
          <w:sz w:val="28"/>
          <w:szCs w:val="28"/>
        </w:rPr>
        <w:t xml:space="preserve">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7175B" w:rsidRDefault="008A1954" w:rsidP="008A1954">
      <w:pPr>
        <w:tabs>
          <w:tab w:val="left" w:pos="709"/>
        </w:tabs>
        <w:autoSpaceDE w:val="0"/>
        <w:autoSpaceDN w:val="0"/>
        <w:adjustRightInd w:val="0"/>
        <w:ind w:firstLine="851"/>
        <w:jc w:val="both"/>
        <w:rPr>
          <w:color w:val="000000"/>
          <w:sz w:val="28"/>
          <w:szCs w:val="28"/>
        </w:rPr>
      </w:pPr>
    </w:p>
    <w:p w:rsidR="008A1954" w:rsidRPr="0057175B" w:rsidRDefault="008A1954" w:rsidP="008A1954">
      <w:pPr>
        <w:ind w:firstLine="709"/>
        <w:jc w:val="both"/>
        <w:rPr>
          <w:color w:val="000000"/>
          <w:sz w:val="28"/>
          <w:szCs w:val="28"/>
        </w:rPr>
      </w:pPr>
      <w:r w:rsidRPr="0057175B">
        <w:rPr>
          <w:color w:val="000000"/>
          <w:sz w:val="28"/>
          <w:szCs w:val="28"/>
          <w:lang w:val="en-US"/>
        </w:rPr>
        <w:t>L</w:t>
      </w:r>
      <w:r w:rsidRPr="0057175B">
        <w:rPr>
          <w:color w:val="000000"/>
          <w:sz w:val="28"/>
          <w:szCs w:val="28"/>
        </w:rPr>
        <w:t xml:space="preserve">0273 – Расходы на мероприятия государственной программы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57175B" w:rsidRDefault="008A1954" w:rsidP="008A1954">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21" w:history="1">
        <w:r w:rsidRPr="0057175B">
          <w:rPr>
            <w:color w:val="000000"/>
            <w:sz w:val="28"/>
            <w:szCs w:val="28"/>
          </w:rPr>
          <w:t>программы</w:t>
        </w:r>
      </w:hyperlink>
      <w:r w:rsidRPr="0057175B">
        <w:rPr>
          <w:color w:val="000000"/>
          <w:sz w:val="28"/>
          <w:szCs w:val="28"/>
        </w:rPr>
        <w:t xml:space="preserve"> Российской Федерации </w:t>
      </w:r>
      <w:r w:rsidR="00D168F0" w:rsidRPr="0057175B">
        <w:rPr>
          <w:color w:val="000000"/>
          <w:sz w:val="28"/>
          <w:szCs w:val="28"/>
        </w:rPr>
        <w:t>«</w:t>
      </w:r>
      <w:r w:rsidRPr="0057175B">
        <w:rPr>
          <w:color w:val="000000"/>
          <w:sz w:val="28"/>
          <w:szCs w:val="28"/>
        </w:rPr>
        <w:t>Доступная среда</w:t>
      </w:r>
      <w:r w:rsidR="00D168F0" w:rsidRPr="0057175B">
        <w:rPr>
          <w:color w:val="000000"/>
          <w:sz w:val="28"/>
          <w:szCs w:val="28"/>
        </w:rPr>
        <w:t>»</w:t>
      </w:r>
      <w:r w:rsidRPr="0057175B">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7175B" w:rsidRDefault="008A1954" w:rsidP="008A1954">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57175B" w:rsidRDefault="00F76F3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w:t>
      </w:r>
      <w:r w:rsidRPr="0057175B">
        <w:rPr>
          <w:snapToGrid w:val="0"/>
          <w:color w:val="000000"/>
          <w:sz w:val="28"/>
          <w:szCs w:val="28"/>
        </w:rPr>
        <w:lastRenderedPageBreak/>
        <w:t>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w:t>
      </w:r>
      <w:r w:rsidRPr="0057175B">
        <w:rPr>
          <w:color w:val="000000"/>
          <w:sz w:val="28"/>
          <w:szCs w:val="28"/>
        </w:rPr>
        <w:lastRenderedPageBreak/>
        <w:t xml:space="preserve">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lastRenderedPageBreak/>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2"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3"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4"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5"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6" w:history="1">
        <w:r w:rsidRPr="0057175B">
          <w:rPr>
            <w:rFonts w:eastAsia="Calibri"/>
            <w:color w:val="000000"/>
            <w:sz w:val="28"/>
            <w:szCs w:val="28"/>
          </w:rPr>
          <w:t>законом</w:t>
        </w:r>
      </w:hyperlink>
      <w:r w:rsidRPr="0057175B">
        <w:rPr>
          <w:rFonts w:eastAsia="Calibri"/>
          <w:color w:val="000000"/>
          <w:sz w:val="28"/>
          <w:szCs w:val="28"/>
        </w:rPr>
        <w:t xml:space="preserve"> от 24 </w:t>
      </w:r>
      <w:r w:rsidRPr="0057175B">
        <w:rPr>
          <w:rFonts w:eastAsia="Calibri"/>
          <w:color w:val="000000"/>
          <w:sz w:val="28"/>
          <w:szCs w:val="28"/>
        </w:rPr>
        <w:lastRenderedPageBreak/>
        <w:t xml:space="preserve">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53CAD" w:rsidRPr="0057175B" w:rsidRDefault="00653CAD"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Pr="0057175B"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w:t>
      </w:r>
      <w:r w:rsidRPr="0057175B">
        <w:rPr>
          <w:color w:val="000000"/>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57175B" w:rsidRDefault="00CE357F" w:rsidP="00CE357F">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BD022D">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57175B">
        <w:rPr>
          <w:rFonts w:eastAsia="Calibri"/>
          <w:color w:val="000000"/>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lastRenderedPageBreak/>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B11F72" w:rsidRPr="0057175B" w:rsidRDefault="00B11F72" w:rsidP="00B11F72">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w:t>
      </w:r>
    </w:p>
    <w:p w:rsidR="00B11F72" w:rsidRPr="0057175B" w:rsidRDefault="00B11F72" w:rsidP="00B11F72">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w:t>
      </w:r>
    </w:p>
    <w:p w:rsidR="0093728A" w:rsidRPr="0057175B" w:rsidRDefault="0093728A"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w:t>
      </w:r>
      <w:r w:rsidRPr="0057175B">
        <w:rPr>
          <w:rFonts w:ascii="Times New Roman" w:hAnsi="Times New Roman"/>
          <w:color w:val="000000"/>
          <w:sz w:val="28"/>
          <w:szCs w:val="28"/>
        </w:rPr>
        <w:lastRenderedPageBreak/>
        <w:t>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57175B" w:rsidRDefault="00EC41C5" w:rsidP="002C29A6">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 xml:space="preserve">реализацию мероприятий по благоустройству общественных </w:t>
      </w:r>
      <w:r w:rsidRPr="0057175B">
        <w:rPr>
          <w:color w:val="000000"/>
          <w:sz w:val="28"/>
          <w:szCs w:val="28"/>
        </w:rPr>
        <w:lastRenderedPageBreak/>
        <w:t>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57175B">
        <w:rPr>
          <w:snapToGrid w:val="0"/>
          <w:color w:val="000000"/>
          <w:sz w:val="28"/>
          <w:szCs w:val="28"/>
        </w:rPr>
        <w:lastRenderedPageBreak/>
        <w:t>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включенной в областной реестр средств массовой </w:t>
      </w:r>
      <w:r w:rsidR="00AD0B9E" w:rsidRPr="0057175B">
        <w:rPr>
          <w:color w:val="000000"/>
          <w:sz w:val="28"/>
          <w:szCs w:val="28"/>
        </w:rPr>
        <w:lastRenderedPageBreak/>
        <w:t>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w:t>
      </w:r>
      <w:r w:rsidRPr="0057175B">
        <w:rPr>
          <w:color w:val="000000"/>
          <w:sz w:val="28"/>
          <w:szCs w:val="28"/>
        </w:rPr>
        <w:lastRenderedPageBreak/>
        <w:t>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57175B" w:rsidRDefault="0057175B" w:rsidP="005E3BC3">
      <w:pPr>
        <w:tabs>
          <w:tab w:val="left" w:pos="142"/>
        </w:tabs>
        <w:ind w:firstLine="5103"/>
        <w:jc w:val="both"/>
        <w:rPr>
          <w:color w:val="000000"/>
        </w:rPr>
      </w:pPr>
      <w:r>
        <w:rPr>
          <w:color w:val="000000"/>
        </w:rPr>
        <w:t>П</w:t>
      </w:r>
      <w:r w:rsidR="005E3BC3" w:rsidRPr="0057175B">
        <w:rPr>
          <w:color w:val="000000"/>
        </w:rPr>
        <w:t>риложение № 2</w:t>
      </w:r>
    </w:p>
    <w:p w:rsidR="005E3BC3" w:rsidRPr="0057175B" w:rsidRDefault="005E3BC3" w:rsidP="005E3BC3">
      <w:pPr>
        <w:tabs>
          <w:tab w:val="left" w:pos="142"/>
        </w:tabs>
        <w:ind w:firstLine="5103"/>
        <w:jc w:val="both"/>
        <w:rPr>
          <w:color w:val="000000"/>
        </w:rPr>
      </w:pPr>
      <w:r w:rsidRPr="0057175B">
        <w:rPr>
          <w:color w:val="000000"/>
        </w:rPr>
        <w:t>к Положению о порядке применения</w:t>
      </w:r>
    </w:p>
    <w:p w:rsidR="005E3BC3" w:rsidRPr="0057175B" w:rsidRDefault="005E3BC3" w:rsidP="005E3BC3">
      <w:pPr>
        <w:tabs>
          <w:tab w:val="left" w:pos="142"/>
        </w:tabs>
        <w:ind w:firstLine="5103"/>
        <w:jc w:val="both"/>
        <w:rPr>
          <w:color w:val="000000"/>
        </w:rPr>
      </w:pPr>
      <w:r w:rsidRPr="0057175B">
        <w:rPr>
          <w:color w:val="000000"/>
        </w:rPr>
        <w:t>бюджетной классификации расходов</w:t>
      </w:r>
    </w:p>
    <w:p w:rsidR="005E3BC3" w:rsidRPr="0057175B" w:rsidRDefault="005E3BC3" w:rsidP="00592E7B">
      <w:pPr>
        <w:tabs>
          <w:tab w:val="left" w:pos="142"/>
        </w:tabs>
        <w:ind w:left="5103"/>
        <w:jc w:val="both"/>
        <w:rPr>
          <w:color w:val="000000"/>
        </w:rPr>
      </w:pPr>
      <w:r w:rsidRPr="0057175B">
        <w:rPr>
          <w:color w:val="000000"/>
        </w:rPr>
        <w:t xml:space="preserve">местного бюджета </w:t>
      </w:r>
      <w:r w:rsidR="00592E7B" w:rsidRPr="0057175B">
        <w:rPr>
          <w:color w:val="000000"/>
        </w:rPr>
        <w:t>на 201</w:t>
      </w:r>
      <w:r w:rsidR="004F39C4" w:rsidRPr="0057175B">
        <w:rPr>
          <w:color w:val="000000"/>
        </w:rPr>
        <w:t>9</w:t>
      </w:r>
      <w:r w:rsidR="00592E7B" w:rsidRPr="0057175B">
        <w:rPr>
          <w:color w:val="000000"/>
        </w:rPr>
        <w:t xml:space="preserve"> год и на плановый период 20</w:t>
      </w:r>
      <w:r w:rsidR="004F39C4" w:rsidRPr="0057175B">
        <w:rPr>
          <w:color w:val="000000"/>
        </w:rPr>
        <w:t>20</w:t>
      </w:r>
      <w:r w:rsidR="00592E7B" w:rsidRPr="0057175B">
        <w:rPr>
          <w:color w:val="000000"/>
        </w:rPr>
        <w:t xml:space="preserve"> и 202</w:t>
      </w:r>
      <w:r w:rsidR="004F39C4" w:rsidRPr="0057175B">
        <w:rPr>
          <w:color w:val="000000"/>
        </w:rPr>
        <w:t>1</w:t>
      </w:r>
      <w:r w:rsidR="00592E7B" w:rsidRPr="0057175B">
        <w:rPr>
          <w:color w:val="000000"/>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92734" w:rsidRPr="0057175B" w:rsidRDefault="00F92734"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92734" w:rsidRPr="0057175B" w:rsidRDefault="00F92734"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92734" w:rsidRPr="0057175B" w:rsidRDefault="00F92734"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92734" w:rsidRPr="0057175B"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06 4 00 12050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06 4 00 12090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7"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57175B">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rPr>
                <w:iCs/>
                <w:color w:val="000000"/>
                <w:sz w:val="28"/>
                <w:szCs w:val="28"/>
              </w:rPr>
            </w:pPr>
            <w:r w:rsidRPr="0057175B">
              <w:rPr>
                <w:iCs/>
                <w:color w:val="000000"/>
                <w:sz w:val="28"/>
                <w:szCs w:val="28"/>
              </w:rPr>
              <w:t xml:space="preserve">Расходы на </w:t>
            </w:r>
            <w:r w:rsidRPr="0057175B">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r w:rsidRPr="0057175B">
              <w:rPr>
                <w:iCs/>
                <w:color w:val="000000"/>
                <w:sz w:val="28"/>
                <w:szCs w:val="28"/>
              </w:rPr>
              <w:t xml:space="preserve">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96280">
            <w:pPr>
              <w:autoSpaceDE w:val="0"/>
              <w:autoSpaceDN w:val="0"/>
              <w:adjustRightInd w:val="0"/>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38668F">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8668F" w:rsidRPr="0057175B" w:rsidRDefault="0038668F"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38668F">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8668F"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8" w:history="1">
              <w:r w:rsidRPr="0057175B">
                <w:rPr>
                  <w:color w:val="000000"/>
                  <w:sz w:val="28"/>
                  <w:szCs w:val="28"/>
                </w:rPr>
                <w:t>пунктами 2</w:t>
              </w:r>
            </w:hyperlink>
            <w:r w:rsidRPr="0057175B">
              <w:rPr>
                <w:color w:val="000000"/>
                <w:sz w:val="28"/>
                <w:szCs w:val="28"/>
              </w:rPr>
              <w:t xml:space="preserve">, </w:t>
            </w:r>
            <w:hyperlink r:id="rId29" w:history="1">
              <w:r w:rsidRPr="0057175B">
                <w:rPr>
                  <w:color w:val="000000"/>
                  <w:sz w:val="28"/>
                  <w:szCs w:val="28"/>
                </w:rPr>
                <w:t>3</w:t>
              </w:r>
            </w:hyperlink>
            <w:r w:rsidRPr="0057175B">
              <w:rPr>
                <w:color w:val="000000"/>
                <w:sz w:val="28"/>
                <w:szCs w:val="28"/>
              </w:rPr>
              <w:t xml:space="preserve">, </w:t>
            </w:r>
            <w:hyperlink r:id="rId30" w:history="1">
              <w:r w:rsidRPr="0057175B">
                <w:rPr>
                  <w:color w:val="000000"/>
                  <w:sz w:val="28"/>
                  <w:szCs w:val="28"/>
                </w:rPr>
                <w:t>4</w:t>
              </w:r>
            </w:hyperlink>
            <w:r w:rsidRPr="0057175B">
              <w:rPr>
                <w:color w:val="000000"/>
                <w:sz w:val="28"/>
                <w:szCs w:val="28"/>
              </w:rPr>
              <w:t xml:space="preserve"> и </w:t>
            </w:r>
            <w:hyperlink r:id="rId31"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rPr>
                <w:color w:val="000000"/>
                <w:sz w:val="28"/>
                <w:szCs w:val="28"/>
              </w:rPr>
            </w:pPr>
            <w:r w:rsidRPr="0057175B">
              <w:rPr>
                <w:color w:val="000000"/>
                <w:sz w:val="28"/>
                <w:szCs w:val="28"/>
              </w:rPr>
              <w:t>Подпрограмма «Доступная среда»</w:t>
            </w:r>
          </w:p>
        </w:tc>
      </w:tr>
      <w:tr w:rsidR="005D10F9" w:rsidRPr="0057175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337F2">
            <w:pPr>
              <w:autoSpaceDE w:val="0"/>
              <w:autoSpaceDN w:val="0"/>
              <w:adjustRightInd w:val="0"/>
              <w:jc w:val="both"/>
              <w:outlineLvl w:val="4"/>
              <w:rPr>
                <w:color w:val="000000"/>
                <w:sz w:val="28"/>
                <w:szCs w:val="28"/>
              </w:rPr>
            </w:pPr>
            <w:r w:rsidRPr="0057175B">
              <w:rPr>
                <w:color w:val="000000"/>
                <w:sz w:val="28"/>
                <w:szCs w:val="28"/>
              </w:rPr>
              <w:t xml:space="preserve">Расходы на реализацию мероприятий государственной </w:t>
            </w:r>
            <w:hyperlink r:id="rId32"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D7E37">
            <w:pPr>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AC56EB">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5D10F9" w:rsidRPr="0057175B" w:rsidRDefault="005D10F9"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CD7E37">
            <w:pPr>
              <w:ind w:left="-108"/>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5D10F9" w:rsidRPr="0057175B"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D10F9" w:rsidRPr="0057175B"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5D10F9" w:rsidRPr="0057175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D10F9" w:rsidRPr="0057175B" w:rsidRDefault="005D10F9"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5D10F9" w:rsidRPr="0057175B" w:rsidRDefault="005D10F9"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5D10F9" w:rsidRPr="0057175B" w:rsidRDefault="005D10F9"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5D10F9" w:rsidRPr="0057175B" w:rsidRDefault="005D10F9"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4"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5"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6"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5D10F9" w:rsidRPr="0057175B"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5D10F9" w:rsidRPr="0057175B" w:rsidRDefault="005D10F9"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5D10F9" w:rsidRPr="0057175B" w:rsidRDefault="005D10F9"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AC56EB">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AC56EB">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D10F9" w:rsidRPr="0057175B" w:rsidTr="00F2284D">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D10F9" w:rsidRPr="0057175B" w:rsidRDefault="005D10F9"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5D10F9" w:rsidRPr="0057175B" w:rsidRDefault="005D10F9"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D10F9" w:rsidRPr="0057175B"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D10F9" w:rsidRPr="0057175B" w:rsidRDefault="005D10F9"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D10F9" w:rsidRPr="0057175B"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5D10F9" w:rsidRPr="0057175B" w:rsidRDefault="005D10F9"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0106E">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D10F9" w:rsidRPr="0057175B" w:rsidRDefault="005D10F9"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5D10F9" w:rsidRPr="0057175B" w:rsidRDefault="005D10F9"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D10F9" w:rsidRPr="0057175B" w:rsidRDefault="005D10F9"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5D10F9" w:rsidRPr="0057175B" w:rsidRDefault="005D10F9"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5D10F9" w:rsidRPr="0057175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5D10F9" w:rsidRPr="0057175B"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D10F9" w:rsidRPr="0057175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5D10F9" w:rsidRPr="0057175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5D10F9" w:rsidRPr="0057175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5D10F9" w:rsidRPr="0057175B"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Волгодонская городская Дума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5D10F9" w:rsidRPr="0057175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Иные непрограммные мероприятия</w:t>
            </w:r>
          </w:p>
        </w:tc>
      </w:tr>
      <w:tr w:rsidR="005D10F9" w:rsidRPr="0057175B"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687192">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4A6119">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687192">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7"/>
      <w:footerReference w:type="default" r:id="rId3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6A" w:rsidRDefault="00D3426A">
      <w:r>
        <w:separator/>
      </w:r>
    </w:p>
  </w:endnote>
  <w:endnote w:type="continuationSeparator" w:id="0">
    <w:p w:rsidR="00D3426A" w:rsidRDefault="00D34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1B" w:rsidRDefault="002B7E71" w:rsidP="003B2E71">
    <w:pPr>
      <w:pStyle w:val="a5"/>
      <w:framePr w:wrap="around" w:vAnchor="text" w:hAnchor="margin" w:xAlign="center" w:y="1"/>
      <w:rPr>
        <w:rStyle w:val="a7"/>
      </w:rPr>
    </w:pPr>
    <w:r>
      <w:rPr>
        <w:rStyle w:val="a7"/>
      </w:rPr>
      <w:fldChar w:fldCharType="begin"/>
    </w:r>
    <w:r w:rsidR="003A4F1B">
      <w:rPr>
        <w:rStyle w:val="a7"/>
      </w:rPr>
      <w:instrText xml:space="preserve">PAGE  </w:instrText>
    </w:r>
    <w:r>
      <w:rPr>
        <w:rStyle w:val="a7"/>
      </w:rPr>
      <w:fldChar w:fldCharType="end"/>
    </w:r>
  </w:p>
  <w:p w:rsidR="003A4F1B" w:rsidRDefault="003A4F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1B" w:rsidRDefault="002B7E71" w:rsidP="003B2E71">
    <w:pPr>
      <w:pStyle w:val="a5"/>
      <w:framePr w:wrap="around" w:vAnchor="text" w:hAnchor="margin" w:xAlign="center" w:y="1"/>
      <w:rPr>
        <w:rStyle w:val="a7"/>
      </w:rPr>
    </w:pPr>
    <w:r>
      <w:rPr>
        <w:rStyle w:val="a7"/>
      </w:rPr>
      <w:fldChar w:fldCharType="begin"/>
    </w:r>
    <w:r w:rsidR="003A4F1B">
      <w:rPr>
        <w:rStyle w:val="a7"/>
      </w:rPr>
      <w:instrText xml:space="preserve">PAGE  </w:instrText>
    </w:r>
    <w:r>
      <w:rPr>
        <w:rStyle w:val="a7"/>
      </w:rPr>
      <w:fldChar w:fldCharType="separate"/>
    </w:r>
    <w:r w:rsidR="00BD022D">
      <w:rPr>
        <w:rStyle w:val="a7"/>
        <w:noProof/>
      </w:rPr>
      <w:t>71</w:t>
    </w:r>
    <w:r>
      <w:rPr>
        <w:rStyle w:val="a7"/>
      </w:rPr>
      <w:fldChar w:fldCharType="end"/>
    </w:r>
  </w:p>
  <w:p w:rsidR="003A4F1B" w:rsidRDefault="003A4F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6A" w:rsidRDefault="00D3426A">
      <w:r>
        <w:separator/>
      </w:r>
    </w:p>
  </w:footnote>
  <w:footnote w:type="continuationSeparator" w:id="0">
    <w:p w:rsidR="00D3426A" w:rsidRDefault="00D34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9F6"/>
    <w:rsid w:val="00203AD7"/>
    <w:rsid w:val="00207427"/>
    <w:rsid w:val="00207AAF"/>
    <w:rsid w:val="0021020B"/>
    <w:rsid w:val="0021157D"/>
    <w:rsid w:val="002117AE"/>
    <w:rsid w:val="0021302C"/>
    <w:rsid w:val="002150E6"/>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B7E71"/>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80C19"/>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5D4"/>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5BDA"/>
    <w:rsid w:val="00BB6428"/>
    <w:rsid w:val="00BB6B0E"/>
    <w:rsid w:val="00BB6FAE"/>
    <w:rsid w:val="00BC38B5"/>
    <w:rsid w:val="00BC5764"/>
    <w:rsid w:val="00BC5ED3"/>
    <w:rsid w:val="00BC6732"/>
    <w:rsid w:val="00BC6B02"/>
    <w:rsid w:val="00BD022D"/>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26A"/>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21713092B8657034C3F1468ABF11ED6EF4EEA0E4B531D9CB2A0F8A4DC7H0C1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B331E3F0DAC542ED8ED0560EBFABCD8D8B29BE718F627A4DB2C8737008D15F89F8C4CC99039788N6O6M" TargetMode="External"/><Relationship Id="rId34" Type="http://schemas.openxmlformats.org/officeDocument/2006/relationships/hyperlink" Target="consultantplus://offline/ref=21713092B8657034C3F1468ABF11ED6EFCEFA1E5B03F84C12256864FHCC0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882214FB5A775EADD2679C53CDE39EE5E584373BD319EC905C91CA51A2w1G8M" TargetMode="External"/><Relationship Id="rId33" Type="http://schemas.openxmlformats.org/officeDocument/2006/relationships/hyperlink" Target="consultantplus://offline/ref=21713092B8657034C3F1468ABF11ED6EF4EEA0E4B531D9CB2A0F8A4DC7H0C1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A3B331E3F0DAC542ED8ED0560EBFABCD8D8B29BE718F627A4DB2C8737008D15F89F8C4CC99039788N6O6M" TargetMode="External"/><Relationship Id="rId29" Type="http://schemas.openxmlformats.org/officeDocument/2006/relationships/hyperlink" Target="consultantplus://offline/ref=F6EBFC103ADB8F0B55902212DA63C5A7FB2DABD7DE61845616D0344FF1A331B6DD39382ABE498197235AB2QE7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882214FB5A775EADD2679C53CDE39EE5E584373BD319EC905C91CA51A2w1G8M" TargetMode="External"/><Relationship Id="rId32" Type="http://schemas.openxmlformats.org/officeDocument/2006/relationships/hyperlink" Target="consultantplus://offline/ref=A3B331E3F0DAC542ED8ED0560EBFABCD8D8B29BE718F627A4DB2C8737008D15F89F8C4CC99039788N6O6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21713092B8657034C3F1468ABF11ED6EFCEFA1E5B03F84C12256864FHCC0M" TargetMode="External"/><Relationship Id="rId28" Type="http://schemas.openxmlformats.org/officeDocument/2006/relationships/hyperlink" Target="consultantplus://offline/ref=F6EBFC103ADB8F0B55902212DA63C5A7FB2DABD7DE61845616D0344FF1A331B6DD39382ABE498197235AB2QE74K" TargetMode="External"/><Relationship Id="rId36"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21713092B8657034C3F1468ABF11ED6EF4EEA0E4B531D9CB2A0F8A4DC7H0C1M" TargetMode="External"/><Relationship Id="rId27" Type="http://schemas.openxmlformats.org/officeDocument/2006/relationships/hyperlink" Target="consultantplus://offline/ref=1DC163800396854E0233C468E4E6DC06B62AEDA6C297C6FD639563E421543A237B930B670694F2107A52C3i2h8P" TargetMode="External"/><Relationship Id="rId30" Type="http://schemas.openxmlformats.org/officeDocument/2006/relationships/hyperlink" Target="consultantplus://offline/ref=F6EBFC103ADB8F0B55902212DA63C5A7FB2DABD7DE61845616D0344FF1A331B6DD39382ABE498197235AB2QE71K" TargetMode="External"/><Relationship Id="rId35" Type="http://schemas.openxmlformats.org/officeDocument/2006/relationships/hyperlink" Target="consultantplus://offline/ref=882214FB5A775EADD2679C53CDE39EE5E584373BD319EC905C91CA51A2w1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DFCD-0C9B-4CD3-9FE8-C174000D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39604</Words>
  <Characters>225747</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264822</CharactersWithSpaces>
  <SharedDoc>false</SharedDoc>
  <HLinks>
    <vt:vector size="180" baseType="variant">
      <vt:variant>
        <vt:i4>4718679</vt:i4>
      </vt:variant>
      <vt:variant>
        <vt:i4>87</vt:i4>
      </vt:variant>
      <vt:variant>
        <vt:i4>0</vt:i4>
      </vt:variant>
      <vt:variant>
        <vt:i4>5</vt:i4>
      </vt:variant>
      <vt:variant>
        <vt:lpwstr>consultantplus://offline/ref=21713092B8657034C3F1468ABF11ED6EF4EEA0E4B531D9CB2A0F8A4DC7H0C1M</vt:lpwstr>
      </vt:variant>
      <vt:variant>
        <vt:lpwstr/>
      </vt:variant>
      <vt:variant>
        <vt:i4>5832716</vt:i4>
      </vt:variant>
      <vt:variant>
        <vt:i4>84</vt:i4>
      </vt:variant>
      <vt:variant>
        <vt:i4>0</vt:i4>
      </vt:variant>
      <vt:variant>
        <vt:i4>5</vt:i4>
      </vt:variant>
      <vt:variant>
        <vt:lpwstr>consultantplus://offline/ref=882214FB5A775EADD2679C53CDE39EE5E584373BD319EC905C91CA51A2w1G8M</vt:lpwstr>
      </vt:variant>
      <vt:variant>
        <vt:lpwstr/>
      </vt:variant>
      <vt:variant>
        <vt:i4>7471164</vt:i4>
      </vt:variant>
      <vt:variant>
        <vt:i4>81</vt:i4>
      </vt:variant>
      <vt:variant>
        <vt:i4>0</vt:i4>
      </vt:variant>
      <vt:variant>
        <vt:i4>5</vt:i4>
      </vt:variant>
      <vt:variant>
        <vt:lpwstr>consultantplus://offline/ref=21713092B8657034C3F1468ABF11ED6EFCEFA1E5B03F84C12256864FHCC0M</vt:lpwstr>
      </vt:variant>
      <vt:variant>
        <vt:lpwstr/>
      </vt: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2621496</vt:i4>
      </vt:variant>
      <vt:variant>
        <vt:i4>75</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72</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69</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66</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63</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60</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57</vt:i4>
      </vt:variant>
      <vt:variant>
        <vt:i4>0</vt:i4>
      </vt:variant>
      <vt:variant>
        <vt:i4>5</vt:i4>
      </vt:variant>
      <vt:variant>
        <vt:lpwstr>consultantplus://offline/ref=21713092B8657034C3F1468ABF11ED6EF4EEA0E4B531D9CB2A0F8A4DC7H0C1M</vt:lpwstr>
      </vt:variant>
      <vt:variant>
        <vt:lpwstr/>
      </vt:variant>
      <vt:variant>
        <vt:i4>5832716</vt:i4>
      </vt:variant>
      <vt:variant>
        <vt:i4>54</vt:i4>
      </vt:variant>
      <vt:variant>
        <vt:i4>0</vt:i4>
      </vt:variant>
      <vt:variant>
        <vt:i4>5</vt:i4>
      </vt:variant>
      <vt:variant>
        <vt:lpwstr>consultantplus://offline/ref=882214FB5A775EADD2679C53CDE39EE5E584373BD319EC905C91CA51A2w1G8M</vt:lpwstr>
      </vt:variant>
      <vt:variant>
        <vt:lpwstr/>
      </vt:variant>
      <vt:variant>
        <vt:i4>5832716</vt:i4>
      </vt:variant>
      <vt:variant>
        <vt:i4>51</vt:i4>
      </vt:variant>
      <vt:variant>
        <vt:i4>0</vt:i4>
      </vt:variant>
      <vt:variant>
        <vt:i4>5</vt:i4>
      </vt:variant>
      <vt:variant>
        <vt:lpwstr>consultantplus://offline/ref=882214FB5A775EADD2679C53CDE39EE5E584373BD319EC905C91CA51A2w1G8M</vt:lpwstr>
      </vt:variant>
      <vt:variant>
        <vt:lpwstr/>
      </vt:variant>
      <vt:variant>
        <vt:i4>7471164</vt:i4>
      </vt:variant>
      <vt:variant>
        <vt:i4>48</vt:i4>
      </vt:variant>
      <vt:variant>
        <vt:i4>0</vt:i4>
      </vt:variant>
      <vt:variant>
        <vt:i4>5</vt:i4>
      </vt:variant>
      <vt:variant>
        <vt:lpwstr>consultantplus://offline/ref=21713092B8657034C3F1468ABF11ED6EFCEFA1E5B03F84C12256864FHCC0M</vt:lpwstr>
      </vt:variant>
      <vt:variant>
        <vt:lpwstr/>
      </vt:variant>
      <vt:variant>
        <vt:i4>4718679</vt:i4>
      </vt:variant>
      <vt:variant>
        <vt:i4>45</vt:i4>
      </vt:variant>
      <vt:variant>
        <vt:i4>0</vt:i4>
      </vt:variant>
      <vt:variant>
        <vt:i4>5</vt:i4>
      </vt:variant>
      <vt:variant>
        <vt:lpwstr>consultantplus://offline/ref=21713092B8657034C3F1468ABF11ED6EF4EEA0E4B531D9CB2A0F8A4DC7H0C1M</vt:lpwstr>
      </vt:variant>
      <vt:variant>
        <vt:lpwstr/>
      </vt:variant>
      <vt:variant>
        <vt:i4>2621496</vt:i4>
      </vt:variant>
      <vt:variant>
        <vt:i4>42</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39</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2019-01-15T07:36:00Z</dcterms:created>
  <dcterms:modified xsi:type="dcterms:W3CDTF">2019-04-03T13:01:00Z</dcterms:modified>
</cp:coreProperties>
</file>