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E419A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4F37A1"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3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78 Б</w:t>
      </w:r>
    </w:p>
    <w:p w:rsidR="0004130C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5B1028" w:rsidRPr="009B0C20" w:rsidRDefault="005B1028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028" w:rsidRDefault="005B1028" w:rsidP="005B1028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№9Б)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A7529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A75291" w:rsidRDefault="00A75291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75291" w:rsidRDefault="00A75291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A75291">
        <w:rPr>
          <w:rFonts w:ascii="Times New Roman" w:hAnsi="Times New Roman"/>
          <w:sz w:val="28"/>
          <w:szCs w:val="28"/>
        </w:rPr>
        <w:t>8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4E55C2" w:rsidRPr="004E55C2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2C1A" w:rsidRPr="004E55C2">
        <w:rPr>
          <w:rFonts w:ascii="Times New Roman" w:hAnsi="Times New Roman" w:cs="Arial"/>
          <w:sz w:val="28"/>
          <w:szCs w:val="20"/>
        </w:rPr>
        <w:t>.</w:t>
      </w:r>
      <w:r w:rsidR="00F74DF1" w:rsidRPr="004E55C2">
        <w:rPr>
          <w:rFonts w:ascii="Times New Roman" w:hAnsi="Times New Roman" w:cs="Arial"/>
          <w:sz w:val="28"/>
          <w:szCs w:val="20"/>
        </w:rPr>
        <w:t xml:space="preserve"> </w:t>
      </w:r>
      <w:r w:rsidR="004E55C2" w:rsidRPr="004E55C2">
        <w:rPr>
          <w:rFonts w:ascii="Times New Roman" w:hAnsi="Times New Roman" w:cs="Arial"/>
          <w:sz w:val="28"/>
          <w:szCs w:val="20"/>
        </w:rPr>
        <w:t>Настоящий приказ</w:t>
      </w:r>
      <w:r w:rsidR="004E55C2" w:rsidRPr="004E55C2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700C1" w:rsidRPr="00B548F4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C1A">
        <w:rPr>
          <w:rFonts w:ascii="Times New Roman" w:hAnsi="Times New Roman"/>
          <w:sz w:val="28"/>
          <w:szCs w:val="28"/>
        </w:rPr>
        <w:t>.</w:t>
      </w:r>
      <w:r w:rsidR="000700C1" w:rsidRPr="00B548F4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Л.В. Позычанюк</w:t>
      </w:r>
    </w:p>
    <w:p w:rsidR="00B01993" w:rsidRDefault="00B01993" w:rsidP="00B01993">
      <w:pPr>
        <w:shd w:val="clear" w:color="auto" w:fill="FFFFFF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Заместитель начальника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Финансового управления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города Волгодонска</w:t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  <w:t>С.В. Пивоварова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213C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специалист- 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Н.А. Дрозденко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E419A3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 w:rsidR="00921A7C">
        <w:rPr>
          <w:rFonts w:ascii="Times New Roman" w:hAnsi="Times New Roman"/>
          <w:sz w:val="24"/>
          <w:szCs w:val="24"/>
        </w:rPr>
        <w:t>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A75291">
        <w:rPr>
          <w:rFonts w:ascii="Times New Roman" w:hAnsi="Times New Roman"/>
          <w:sz w:val="24"/>
          <w:szCs w:val="24"/>
        </w:rPr>
        <w:t>8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F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3E" w:rsidRPr="00BD0023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5B102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5B1028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5291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9620A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3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620AB" w:rsidRDefault="009620AB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Pr="00BD002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3" w:rsidRPr="00CD64D3" w:rsidRDefault="00E4147F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Волгодонска «Об основных направлениях бюджетной 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51FA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7B0D5F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(изменений) сводной бюджетной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0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D80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A5D3E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07CC3" w:rsidRPr="00BA5D3E">
              <w:rPr>
                <w:rFonts w:ascii="Times New Roman" w:hAnsi="Times New Roman" w:cs="Times New Roman"/>
                <w:sz w:val="24"/>
                <w:szCs w:val="24"/>
              </w:rPr>
              <w:t>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90231D" w:rsidP="005B1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 w:rsidR="005B1028"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5B1028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управления финансовыми ресурсами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Волгодонска.</w:t>
            </w:r>
          </w:p>
          <w:p w:rsidR="00260827" w:rsidRPr="00A7378D" w:rsidRDefault="00260827" w:rsidP="00D27B47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5B1028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5B1028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отчете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B10F5" w:rsidRPr="00BD0023" w:rsidRDefault="00A75291" w:rsidP="002B1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A75291" w:rsidRPr="00BD0023" w:rsidRDefault="002B10F5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E4147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проектов решений Волгодонской городской Думы об отчете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D27B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7B0D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83" w:rsidRDefault="0089458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83" w:rsidRPr="00894583" w:rsidRDefault="00894583" w:rsidP="00894583"/>
          <w:p w:rsidR="007B0D5F" w:rsidRPr="00894583" w:rsidRDefault="007B0D5F" w:rsidP="00894583"/>
          <w:p w:rsidR="00260827" w:rsidRPr="007B0D5F" w:rsidRDefault="00260827" w:rsidP="007B0D5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5B1028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30 510,4</w:t>
            </w:r>
          </w:p>
          <w:p w:rsidR="00894583" w:rsidRPr="00894583" w:rsidRDefault="00894583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Pr="00894583" w:rsidRDefault="005B1028" w:rsidP="005B102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30 510,4</w:t>
            </w:r>
          </w:p>
          <w:p w:rsidR="00260827" w:rsidRPr="00894583" w:rsidRDefault="00260827" w:rsidP="00894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90231D" w:rsidRPr="00A7378D" w:rsidRDefault="005B1028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90231D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 w:rsidR="00E4147F"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площади используемых объектов нежилого фонда 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0231D" w:rsidRPr="00A7378D" w:rsidRDefault="0090231D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7 703,5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29706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7 703,5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паспортизация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0231D" w:rsidRPr="000100B8" w:rsidRDefault="0090231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7B0D5F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D27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D" w:rsidRPr="007B0D5F" w:rsidRDefault="0090231D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балансовой комиссии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47F" w:rsidP="00E4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потребностей инвесторов и граждан города земельными участками для строительства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3" w:rsidRPr="00E419A3" w:rsidRDefault="0090231D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90231D" w:rsidRPr="00E419A3" w:rsidRDefault="00E419A3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9A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31D" w:rsidRPr="004950E9" w:rsidRDefault="005B102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площади используемых объектов нежилого фонда муниципального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местного бюджета дополнительными доходными источниками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1 034,8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 034,8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90231D" w:rsidRPr="00086FD4" w:rsidRDefault="0090231D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5B1028"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E4147F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вн</w:t>
            </w:r>
            <w:r w:rsidR="0090231D"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CD64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4E4E12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90231D" w:rsidRPr="00086FD4" w:rsidRDefault="0090231D" w:rsidP="004950E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90231D" w:rsidRPr="00086FD4" w:rsidRDefault="0090231D" w:rsidP="005B102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90231D" w:rsidRPr="00086FD4" w:rsidRDefault="0090231D" w:rsidP="004E4E1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основных направлений приватизации муниципального имущества на 20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E4E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FA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15.11.201</w:t>
            </w:r>
            <w:r w:rsidR="004E4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775C77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CD64D3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 работе информационных услуг «1С», «Консультант+». Использование электронного документооборота по си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029B">
              <w:rPr>
                <w:rFonts w:ascii="Times New Roman" w:hAnsi="Times New Roman"/>
                <w:sz w:val="24"/>
                <w:szCs w:val="24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90231D" w:rsidRPr="003C7F3F" w:rsidRDefault="0090231D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ведения процесса использования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>бюджетного учета администрируемых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>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9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кранов, рукавов, лестниц в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>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E4147F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4E4E12" w:rsidRPr="00B71FA9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>квалификации муниципальных служащих</w:t>
            </w: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управленческой и организационной деятельности аппарата управления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5B1028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5B1028" w:rsidP="00A7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CD64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4E4E12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4E4E12" w:rsidRPr="00090278" w:rsidRDefault="004E4E12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E4147F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сбалансированность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E12" w:rsidRPr="00090278" w:rsidRDefault="00E4147F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паспортизации и государственной регистрации права собственности имущества муниципального образования «Город Волгодонск» и об</w:t>
            </w:r>
            <w:r w:rsidR="00D27B47"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5B1028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5B1028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  <w:t>М.А. Вялых</w:t>
      </w:r>
    </w:p>
    <w:sectPr w:rsidR="00CD64D3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34" w:rsidRDefault="005F4234">
      <w:pPr>
        <w:spacing w:after="0" w:line="240" w:lineRule="auto"/>
      </w:pPr>
      <w:r>
        <w:separator/>
      </w:r>
    </w:p>
  </w:endnote>
  <w:endnote w:type="continuationSeparator" w:id="0">
    <w:p w:rsidR="005F4234" w:rsidRDefault="005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7" w:rsidRPr="004566E0" w:rsidRDefault="00A959A9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6B77A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5B1028">
      <w:rPr>
        <w:rFonts w:ascii="Times New Roman" w:hAnsi="Times New Roman"/>
        <w:noProof/>
        <w:sz w:val="24"/>
        <w:szCs w:val="24"/>
      </w:rPr>
      <w:t>11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6B77A7" w:rsidRDefault="006B7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34" w:rsidRDefault="005F4234">
      <w:pPr>
        <w:spacing w:after="0" w:line="240" w:lineRule="auto"/>
      </w:pPr>
      <w:r>
        <w:separator/>
      </w:r>
    </w:p>
  </w:footnote>
  <w:footnote w:type="continuationSeparator" w:id="0">
    <w:p w:rsidR="005F4234" w:rsidRDefault="005F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0F71B8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0A34"/>
    <w:rsid w:val="00222DC0"/>
    <w:rsid w:val="002269F3"/>
    <w:rsid w:val="00235927"/>
    <w:rsid w:val="00235BD4"/>
    <w:rsid w:val="0024441B"/>
    <w:rsid w:val="00250C58"/>
    <w:rsid w:val="00260827"/>
    <w:rsid w:val="0029706A"/>
    <w:rsid w:val="002B0520"/>
    <w:rsid w:val="002B10F5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E66BC"/>
    <w:rsid w:val="002F095E"/>
    <w:rsid w:val="00315E1E"/>
    <w:rsid w:val="0032539F"/>
    <w:rsid w:val="00341797"/>
    <w:rsid w:val="00346E3F"/>
    <w:rsid w:val="00354823"/>
    <w:rsid w:val="003838AC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340C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950E9"/>
    <w:rsid w:val="004A13F7"/>
    <w:rsid w:val="004A5F31"/>
    <w:rsid w:val="004B7D18"/>
    <w:rsid w:val="004C4DA2"/>
    <w:rsid w:val="004D1B2F"/>
    <w:rsid w:val="004D3E77"/>
    <w:rsid w:val="004E0E37"/>
    <w:rsid w:val="004E4E12"/>
    <w:rsid w:val="004E51FA"/>
    <w:rsid w:val="004E55C2"/>
    <w:rsid w:val="004F2AF7"/>
    <w:rsid w:val="004F37A1"/>
    <w:rsid w:val="004F6195"/>
    <w:rsid w:val="00517DE0"/>
    <w:rsid w:val="00520107"/>
    <w:rsid w:val="0053791C"/>
    <w:rsid w:val="00542EAC"/>
    <w:rsid w:val="00543207"/>
    <w:rsid w:val="00551F06"/>
    <w:rsid w:val="005538BF"/>
    <w:rsid w:val="005558C5"/>
    <w:rsid w:val="00557130"/>
    <w:rsid w:val="00560C27"/>
    <w:rsid w:val="00570218"/>
    <w:rsid w:val="005A1F08"/>
    <w:rsid w:val="005B1028"/>
    <w:rsid w:val="005B6BE5"/>
    <w:rsid w:val="005C0601"/>
    <w:rsid w:val="005C2AE8"/>
    <w:rsid w:val="005E336C"/>
    <w:rsid w:val="005E4DEA"/>
    <w:rsid w:val="005E5F04"/>
    <w:rsid w:val="005E73CD"/>
    <w:rsid w:val="005F24A6"/>
    <w:rsid w:val="005F4234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B77A7"/>
    <w:rsid w:val="006C0E55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36D28"/>
    <w:rsid w:val="00752F6F"/>
    <w:rsid w:val="00757DC8"/>
    <w:rsid w:val="0076696D"/>
    <w:rsid w:val="00767AA3"/>
    <w:rsid w:val="00773464"/>
    <w:rsid w:val="00774453"/>
    <w:rsid w:val="00775519"/>
    <w:rsid w:val="00775C77"/>
    <w:rsid w:val="00777FEE"/>
    <w:rsid w:val="00782406"/>
    <w:rsid w:val="007A36FE"/>
    <w:rsid w:val="007B0D5F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029B"/>
    <w:rsid w:val="00812334"/>
    <w:rsid w:val="008230A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94583"/>
    <w:rsid w:val="008B1701"/>
    <w:rsid w:val="008B563D"/>
    <w:rsid w:val="008B6C00"/>
    <w:rsid w:val="008B75CB"/>
    <w:rsid w:val="008D28E2"/>
    <w:rsid w:val="008E23C2"/>
    <w:rsid w:val="008E516E"/>
    <w:rsid w:val="008F5160"/>
    <w:rsid w:val="0090231D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20AB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2D69"/>
    <w:rsid w:val="00A34680"/>
    <w:rsid w:val="00A42B17"/>
    <w:rsid w:val="00A55380"/>
    <w:rsid w:val="00A568D4"/>
    <w:rsid w:val="00A570DF"/>
    <w:rsid w:val="00A644B5"/>
    <w:rsid w:val="00A66D80"/>
    <w:rsid w:val="00A66D89"/>
    <w:rsid w:val="00A70931"/>
    <w:rsid w:val="00A7378D"/>
    <w:rsid w:val="00A75291"/>
    <w:rsid w:val="00A759F6"/>
    <w:rsid w:val="00A80168"/>
    <w:rsid w:val="00A86288"/>
    <w:rsid w:val="00A91FD7"/>
    <w:rsid w:val="00A942E8"/>
    <w:rsid w:val="00A959A9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01993"/>
    <w:rsid w:val="00B1766D"/>
    <w:rsid w:val="00B42DFC"/>
    <w:rsid w:val="00B4460D"/>
    <w:rsid w:val="00B4750B"/>
    <w:rsid w:val="00B55234"/>
    <w:rsid w:val="00B62981"/>
    <w:rsid w:val="00B64985"/>
    <w:rsid w:val="00B71FA9"/>
    <w:rsid w:val="00B7683E"/>
    <w:rsid w:val="00B80B22"/>
    <w:rsid w:val="00B86823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07C8"/>
    <w:rsid w:val="00CC39F8"/>
    <w:rsid w:val="00CD116E"/>
    <w:rsid w:val="00CD152D"/>
    <w:rsid w:val="00CD254A"/>
    <w:rsid w:val="00CD604F"/>
    <w:rsid w:val="00CD64D3"/>
    <w:rsid w:val="00CE3861"/>
    <w:rsid w:val="00CF1678"/>
    <w:rsid w:val="00CF5471"/>
    <w:rsid w:val="00CF7F3D"/>
    <w:rsid w:val="00D00F85"/>
    <w:rsid w:val="00D035BC"/>
    <w:rsid w:val="00D209FA"/>
    <w:rsid w:val="00D27B47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9200D"/>
    <w:rsid w:val="00DB489C"/>
    <w:rsid w:val="00DC4C64"/>
    <w:rsid w:val="00DD4CDB"/>
    <w:rsid w:val="00DE0A34"/>
    <w:rsid w:val="00DE1700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147F"/>
    <w:rsid w:val="00E41685"/>
    <w:rsid w:val="00E419A3"/>
    <w:rsid w:val="00E464E4"/>
    <w:rsid w:val="00E639EE"/>
    <w:rsid w:val="00E6667A"/>
    <w:rsid w:val="00E71503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703B-6B8B-4241-8FD1-8DDE92EE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17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cp:lastPrinted>2017-12-12T13:11:00Z</cp:lastPrinted>
  <dcterms:created xsi:type="dcterms:W3CDTF">2015-12-09T07:51:00Z</dcterms:created>
  <dcterms:modified xsi:type="dcterms:W3CDTF">2018-03-05T14:05:00Z</dcterms:modified>
</cp:coreProperties>
</file>