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РЕЗУЛЬТАТИВНОСТИ ПРОВОДИМЫХ</w:t>
      </w:r>
    </w:p>
    <w:p w14:paraId="04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ПРОГРАММНЫХ МЕРОПРИЯТИЙ</w:t>
      </w:r>
    </w:p>
    <w:p w14:paraId="05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муниципальной программы города Волгодонска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_</w:t>
      </w:r>
      <w:r>
        <w:rPr>
          <w:rFonts w:ascii="Times New Roman" w:hAnsi="Times New Roman"/>
          <w:sz w:val="28"/>
          <w:u w:val="single"/>
        </w:rPr>
        <w:t xml:space="preserve"> «</w:t>
      </w:r>
      <w:r>
        <w:rPr>
          <w:rFonts w:ascii="Times New Roman" w:hAnsi="Times New Roman"/>
          <w:sz w:val="28"/>
          <w:u w:val="single"/>
        </w:rPr>
        <w:t>Территориальное планирование и обеспечение доступным и комфортным жильем населения города Волгодонска»</w:t>
      </w:r>
    </w:p>
    <w:p w14:paraId="07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(наименование муниципальной программы)</w:t>
      </w:r>
    </w:p>
    <w:p w14:paraId="08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«01» июля 2022 года </w:t>
      </w: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(ожидаемое)</w:t>
      </w:r>
    </w:p>
    <w:p w14:paraId="0B000000">
      <w:pPr>
        <w:pStyle w:val="Style_1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25"/>
        <w:gridCol w:w="1469"/>
        <w:gridCol w:w="1877"/>
        <w:gridCol w:w="1876"/>
        <w:gridCol w:w="2548"/>
        <w:gridCol w:w="2546"/>
      </w:tblGrid>
      <w:tr>
        <w:trPr>
          <w:trHeight w:hRule="atLeast" w:val="2908"/>
        </w:trP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целевых показателей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Единицы измерения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Планируемое значение целевого показателя на I полугодие 2022 год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</w:t>
            </w:r>
          </w:p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(ожидаемое) значение целевого показателя за I полугодие 2022 год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(структурное подразделение, орган Администрации города Волгодонска)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Причины неисполнения</w:t>
            </w: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hRule="atLeast" w:val="618"/>
        </w:trPr>
        <w:tc>
          <w:tcPr>
            <w:tcW w:type="dxa" w:w="147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города Волгодонска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</w:p>
        </w:tc>
      </w:tr>
      <w:tr>
        <w:trPr>
          <w:trHeight w:hRule="atLeast" w:val="658"/>
        </w:trP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>Показатель 1.</w:t>
            </w:r>
          </w:p>
          <w:p w14:paraId="1C000000">
            <w:pPr>
              <w:rPr>
                <w:sz w:val="28"/>
              </w:rPr>
            </w:pPr>
            <w:r>
              <w:rPr>
                <w:sz w:val="28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Администрацией города Волгодонска разработаны планы освоения и обеспечения инженерной инфраструктурой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14:paraId="1E000000">
            <w:pPr>
              <w:spacing w:afterAutospacing="on" w:beforeAutospacing="on"/>
              <w:ind/>
              <w:jc w:val="center"/>
              <w:rPr>
                <w:sz w:val="28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омитет по градостроительству и архитектуре Администрации города Волгодонска (далее – КГиА)</w:t>
            </w:r>
          </w:p>
          <w:p w14:paraId="22000000">
            <w:pPr>
              <w:ind/>
              <w:jc w:val="center"/>
              <w:rPr>
                <w:sz w:val="28"/>
                <w:highlight w:val="yellow"/>
              </w:rPr>
            </w:pP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widowControl w:val="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142"/>
        </w:trP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Autospacing="on" w:beforeAutospacing="on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</w:rPr>
              <w:t>илищн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 xml:space="preserve"> отдел МКУ «Департамент строительства» (далее – ЖО МКУ «ДС»)</w:t>
            </w:r>
          </w:p>
          <w:p w14:paraId="2A000000">
            <w:pPr>
              <w:pStyle w:val="Style_4"/>
              <w:ind/>
              <w:jc w:val="center"/>
              <w:rPr>
                <w:sz w:val="28"/>
              </w:rPr>
            </w:pP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widowControl w:val="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8"/>
        </w:trPr>
        <w:tc>
          <w:tcPr>
            <w:tcW w:type="dxa" w:w="147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1. «Развитие территорий для жилищного строительства в г. Волгодонске»</w:t>
            </w:r>
          </w:p>
        </w:tc>
      </w:tr>
      <w:tr>
        <w:trPr>
          <w:trHeight w:hRule="atLeast" w:val="208"/>
        </w:trP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2.1.</w:t>
            </w:r>
          </w:p>
          <w:p w14:paraId="2E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Autospacing="on" w:beforeAutospacing="on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14:paraId="30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66,7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КГиА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Фактическое значение показателя превышает плановое значение в связи с ранее разработанными проектами планировки  и </w:t>
            </w:r>
            <w:r>
              <w:rPr>
                <w:rFonts w:ascii="Times New Roman" w:hAnsi="Times New Roman"/>
                <w:sz w:val="24"/>
              </w:rPr>
              <w:t>межевания территории н</w:t>
            </w:r>
            <w:r>
              <w:rPr>
                <w:rFonts w:ascii="Times New Roman" w:hAnsi="Times New Roman"/>
                <w:sz w:val="24"/>
              </w:rPr>
              <w:t>а микрорайон В-23, микрорайон В-24.</w:t>
            </w:r>
          </w:p>
        </w:tc>
      </w:tr>
      <w:tr>
        <w:trPr>
          <w:trHeight w:hRule="atLeast" w:val="208"/>
        </w:trP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2.2.</w:t>
            </w:r>
          </w:p>
          <w:p w14:paraId="36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КГиА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8"/>
        </w:trPr>
        <w:tc>
          <w:tcPr>
            <w:tcW w:type="dxa" w:w="147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2. «Оказание мер государственной поддержки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улучшении жилищных условий отдельным категориям граждан»</w:t>
            </w: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</w:t>
            </w:r>
            <w:r>
              <w:rPr>
                <w:sz w:val="28"/>
              </w:rPr>
              <w:t>.1.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rPr>
                <w:sz w:val="28"/>
              </w:rPr>
              <w:t>ЖО МКУ «ДС»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widowControl w:val="1"/>
              <w:ind w:firstLine="0" w:left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2.2.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детей-сирот и детей, оставшихся без попечения родителей, лиц из числа детей-сир</w:t>
            </w:r>
            <w:r>
              <w:rPr>
                <w:sz w:val="28"/>
              </w:rPr>
              <w:t>от и детей, оставшихся без попечения родителей, подлежащих обеспечению жильем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чел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 w:firstLine="0" w:left="709"/>
              <w:jc w:val="center"/>
            </w:pPr>
            <w:r>
              <w:rPr>
                <w:sz w:val="28"/>
              </w:rPr>
              <w:t>ЖО МКУ «ДС»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widowControl w:val="1"/>
              <w:ind w:firstLine="0" w:left="0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2.3.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ЖО МКУ «ДС»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widowControl w:val="1"/>
              <w:ind w:firstLine="0" w:left="0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2.4.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Общая площадь жилых помещений, приобретаемых (строящихся)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 w:firstLine="0" w:left="-75" w:right="-75"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тыс. м2</w:t>
            </w:r>
          </w:p>
          <w:p w14:paraId="55000000">
            <w:pPr>
              <w:ind w:firstLine="0" w:left="-75" w:right="-75"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общ.пл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33</w:t>
            </w:r>
          </w:p>
          <w:p w14:paraId="5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037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rPr>
                <w:sz w:val="28"/>
              </w:rPr>
              <w:t>ЖО МКУ «ДС»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 показателя превышает плановое значение в связи с приобретением жил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, превышающ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z w:val="24"/>
              </w:rPr>
              <w:t xml:space="preserve"> минимальную норму</w:t>
            </w:r>
          </w:p>
        </w:tc>
      </w:tr>
      <w:tr>
        <w:tc>
          <w:tcPr>
            <w:tcW w:type="dxa" w:w="4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 2.5.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принятых и оформленных комплектов документов на получение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firstLine="0" w:left="-136" w:right="-155"/>
              <w:jc w:val="center"/>
              <w:rPr>
                <w:sz w:val="28"/>
              </w:rPr>
            </w:pPr>
            <w:r>
              <w:rPr>
                <w:sz w:val="28"/>
              </w:rPr>
              <w:t>компл документов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rPr>
                <w:sz w:val="28"/>
              </w:rPr>
              <w:t>ЖО МКУ «ДС»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widowControl w:val="1"/>
              <w:ind w:firstLine="0" w:lef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2000000">
      <w:pPr>
        <w:pStyle w:val="Style_1"/>
        <w:widowControl w:val="1"/>
        <w:ind w:firstLine="0" w:left="0"/>
        <w:jc w:val="center"/>
        <w:rPr>
          <w:rFonts w:ascii="Times New Roman" w:hAnsi="Times New Roman"/>
          <w:sz w:val="28"/>
          <w:highlight w:val="yellow"/>
        </w:rPr>
      </w:pPr>
    </w:p>
    <w:p w14:paraId="63000000">
      <w:pPr>
        <w:pStyle w:val="Style_5"/>
        <w:widowControl w:val="1"/>
        <w:ind/>
        <w:rPr>
          <w:rFonts w:ascii="Times New Roman" w:hAnsi="Times New Roman"/>
          <w:sz w:val="28"/>
        </w:rPr>
      </w:pPr>
    </w:p>
    <w:p w14:paraId="64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4"/>
        </w:rPr>
      </w:pPr>
    </w:p>
    <w:p w14:paraId="65000000">
      <w:pPr>
        <w:rPr>
          <w:sz w:val="28"/>
        </w:rPr>
      </w:pPr>
      <w:r>
        <w:rPr>
          <w:sz w:val="28"/>
        </w:rPr>
        <w:t xml:space="preserve">Заведующий сектором землеустройства </w:t>
      </w:r>
    </w:p>
    <w:p w14:paraId="66000000">
      <w:pPr>
        <w:rPr>
          <w:sz w:val="28"/>
        </w:rPr>
      </w:pPr>
      <w:r>
        <w:rPr>
          <w:sz w:val="28"/>
        </w:rPr>
        <w:t xml:space="preserve">и инженерного обеспечения комитета </w:t>
      </w:r>
    </w:p>
    <w:p w14:paraId="67000000">
      <w:pPr>
        <w:rPr>
          <w:sz w:val="28"/>
        </w:rPr>
      </w:pPr>
      <w:r>
        <w:rPr>
          <w:sz w:val="28"/>
        </w:rPr>
        <w:t xml:space="preserve">по градостроительству и архитектуре </w:t>
      </w:r>
    </w:p>
    <w:p w14:paraId="68000000">
      <w:pPr>
        <w:rPr>
          <w:sz w:val="18"/>
        </w:rPr>
      </w:pPr>
      <w:r>
        <w:rPr>
          <w:sz w:val="28"/>
        </w:rPr>
        <w:t xml:space="preserve">Администрации города Волгодонска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Е.Н.</w:t>
      </w:r>
      <w:r>
        <w:rPr>
          <w:sz w:val="28"/>
        </w:rPr>
        <w:t xml:space="preserve"> Рындина </w:t>
      </w:r>
    </w:p>
    <w:p w14:paraId="69000000">
      <w:pPr>
        <w:pStyle w:val="Style_1"/>
        <w:widowControl w:val="1"/>
        <w:ind w:firstLine="0" w:left="0"/>
        <w:jc w:val="both"/>
        <w:outlineLvl w:val="1"/>
        <w:rPr>
          <w:rFonts w:ascii="Times New Roman" w:hAnsi="Times New Roman"/>
          <w:sz w:val="24"/>
        </w:rPr>
      </w:pPr>
    </w:p>
    <w:sectPr>
      <w:headerReference r:id="rId1" w:type="default"/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 w:right="4864"/>
      <w:outlineLvl w:val="2"/>
    </w:pPr>
    <w:rPr>
      <w:sz w:val="26"/>
    </w:rPr>
  </w:style>
  <w:style w:styleId="Style_10_ch" w:type="character">
    <w:name w:val="heading 3"/>
    <w:basedOn w:val="Style_4_ch"/>
    <w:link w:val="Style_10"/>
    <w:rPr>
      <w:sz w:val="26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1" w:type="paragraph">
    <w:name w:val="No Spacing"/>
    <w:link w:val="Style_11_ch"/>
    <w:rPr>
      <w:sz w:val="24"/>
    </w:rPr>
  </w:style>
  <w:style w:styleId="Style_11_ch" w:type="character">
    <w:name w:val="No Spacing"/>
    <w:link w:val="Style_11"/>
    <w:rPr>
      <w:sz w:val="24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Без интервала2"/>
    <w:link w:val="Style_13_ch"/>
    <w:rPr>
      <w:sz w:val="24"/>
    </w:rPr>
  </w:style>
  <w:style w:styleId="Style_13_ch" w:type="character">
    <w:name w:val="Без интервала2"/>
    <w:link w:val="Style_13"/>
    <w:rPr>
      <w:sz w:val="24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ind w:right="4762"/>
      <w:jc w:val="center"/>
      <w:outlineLvl w:val="0"/>
    </w:pPr>
    <w:rPr>
      <w:spacing w:val="20"/>
      <w:sz w:val="28"/>
    </w:rPr>
  </w:style>
  <w:style w:styleId="Style_15_ch" w:type="character">
    <w:name w:val="heading 1"/>
    <w:basedOn w:val="Style_4_ch"/>
    <w:link w:val="Style_15"/>
    <w:rPr>
      <w:spacing w:val="20"/>
      <w:sz w:val="28"/>
    </w:rPr>
  </w:style>
  <w:style w:styleId="Style_16" w:type="paragraph">
    <w:name w:val="Hyperlink"/>
    <w:basedOn w:val="Style_17"/>
    <w:link w:val="Style_16_ch"/>
    <w:rPr>
      <w:color w:val="0000FF"/>
      <w:u w:val="single"/>
    </w:rPr>
  </w:style>
  <w:style w:styleId="Style_16_ch" w:type="character">
    <w:name w:val="Hyperlink"/>
    <w:basedOn w:val="Style_17_ch"/>
    <w:link w:val="Style_16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4"/>
    <w:link w:val="Style_26_ch"/>
    <w:uiPriority w:val="10"/>
    <w:qFormat/>
    <w:pPr>
      <w:ind w:right="5147"/>
      <w:jc w:val="center"/>
    </w:pPr>
    <w:rPr>
      <w:b w:val="1"/>
      <w:spacing w:val="20"/>
      <w:sz w:val="32"/>
    </w:rPr>
  </w:style>
  <w:style w:styleId="Style_26_ch" w:type="character">
    <w:name w:val="Title"/>
    <w:basedOn w:val="Style_4_ch"/>
    <w:link w:val="Style_26"/>
    <w:rPr>
      <w:b w:val="1"/>
      <w:spacing w:val="20"/>
      <w:sz w:val="3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4"/>
    <w:next w:val="Style_4"/>
    <w:link w:val="Style_28_ch"/>
    <w:uiPriority w:val="9"/>
    <w:qFormat/>
    <w:pPr>
      <w:keepNext w:val="1"/>
      <w:ind w:right="4762"/>
      <w:jc w:val="center"/>
      <w:outlineLvl w:val="1"/>
    </w:pPr>
    <w:rPr>
      <w:sz w:val="32"/>
    </w:rPr>
  </w:style>
  <w:style w:styleId="Style_28_ch" w:type="character">
    <w:name w:val="heading 2"/>
    <w:basedOn w:val="Style_4_ch"/>
    <w:link w:val="Style_28"/>
    <w:rPr>
      <w:sz w:val="3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2022-07-26T12:57:33Z</dcterms:modified>
</cp:coreProperties>
</file>