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 w:firstLine="0" w:left="567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 w14:paraId="02000000">
      <w:pPr>
        <w:widowControl w:val="0"/>
        <w:spacing w:after="0" w:line="240" w:lineRule="auto"/>
        <w:ind w:firstLine="0" w:left="567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Методическим рекомендациям по разработке и реализации муниципальных программ</w:t>
      </w:r>
    </w:p>
    <w:p w14:paraId="03000000">
      <w:pPr>
        <w:widowControl w:val="0"/>
        <w:spacing w:after="0" w:line="240" w:lineRule="auto"/>
        <w:ind w:firstLine="0" w:left="567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города Волгодонска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информация к отчету об исполнении плана реализации программы «</w:t>
      </w:r>
      <w:r>
        <w:rPr>
          <w:rFonts w:ascii="Times New Roman" w:hAnsi="Times New Roman"/>
          <w:sz w:val="28"/>
        </w:rPr>
        <w:t xml:space="preserve">Территориальное планирование и обеспечение доступным и комфортным жильем населения города Волгодонска» </w:t>
      </w:r>
    </w:p>
    <w:p w14:paraId="0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I полугодия 2022 года</w:t>
      </w:r>
    </w:p>
    <w:p w14:paraId="07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города Волгодонска «</w:t>
      </w:r>
      <w:r>
        <w:rPr>
          <w:rFonts w:ascii="Times New Roman" w:hAnsi="Times New Roman"/>
          <w:sz w:val="28"/>
        </w:rPr>
        <w:t>Территориальное планирование и обеспечение доступным и комфортным жильем населения города Волгодонска</w:t>
      </w:r>
      <w:r>
        <w:rPr>
          <w:rFonts w:ascii="Times New Roman" w:hAnsi="Times New Roman"/>
          <w:sz w:val="28"/>
        </w:rPr>
        <w:t>» (далее</w:t>
      </w:r>
      <w:r>
        <w:rPr>
          <w:rFonts w:ascii="Times New Roman" w:hAnsi="Times New Roman"/>
          <w:sz w:val="28"/>
        </w:rPr>
        <w:t xml:space="preserve"> – Программа) утверждена постановлением Администрации города Волгодонска от 25.09.2019 № 2393.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в 2022 году предусмотрено 43156,0 тыс. рублей, сводной бюджетной росписью 43156,0 тыс. рублей. Фактическое освоение средств</w:t>
      </w:r>
      <w:r>
        <w:rPr>
          <w:rFonts w:ascii="Times New Roman" w:hAnsi="Times New Roman"/>
          <w:sz w:val="28"/>
        </w:rPr>
        <w:t xml:space="preserve"> по итогам I полугодия 2022 года составило 10451,1 тыс. рублей или 24,2 процентов от предусмотренного сводной бюджетной росписью объема. 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включает в себя следующие подпрограммы:</w:t>
      </w:r>
    </w:p>
    <w:p w14:paraId="0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подпрограмма 1 - «Территориальное планирование и разв</w:t>
      </w:r>
      <w:r>
        <w:rPr>
          <w:rFonts w:ascii="Times New Roman" w:hAnsi="Times New Roman"/>
          <w:sz w:val="28"/>
        </w:rPr>
        <w:t>итие территорий, в том числе для жилищного строительства» (далее - подпрограмма 1);</w:t>
      </w:r>
    </w:p>
    <w:p w14:paraId="0C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подпрограмма 2 - «Оказание мер государственной поддержки в улучшении жилищных условий отдельным категориям граждан» (далее - подпрограмма 2).</w:t>
      </w:r>
    </w:p>
    <w:p w14:paraId="0D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План реализации муниципально</w:t>
      </w:r>
      <w:r>
        <w:rPr>
          <w:rFonts w:ascii="Times New Roman" w:hAnsi="Times New Roman"/>
          <w:sz w:val="28"/>
        </w:rPr>
        <w:t>й программы на 2022 год утвержден распоряжением Администрации города Волгодонска от 23.12.2021 № 313 «Об утверждении Плана реализации муниципальной программы города Волгодонска «Территориальное планирование и обеспечение доступным и комфортным жильем насел</w:t>
      </w:r>
      <w:r>
        <w:rPr>
          <w:rFonts w:ascii="Times New Roman" w:hAnsi="Times New Roman"/>
          <w:sz w:val="28"/>
        </w:rPr>
        <w:t>ения города Волгодонска» на 2022 год».</w:t>
      </w:r>
    </w:p>
    <w:p w14:paraId="0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основных мероприятий подпрограммы 1 в 2022 году предусмотрено 0,0 тыс. рублей, сводной бюджетной росписью 0,0 тыс. рублей.</w:t>
      </w:r>
    </w:p>
    <w:p w14:paraId="0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подпрограммы 1 в 2022 году предусмотрено 3 основных мероприятия, из кот</w:t>
      </w:r>
      <w:r>
        <w:rPr>
          <w:rFonts w:ascii="Times New Roman" w:hAnsi="Times New Roman"/>
          <w:sz w:val="28"/>
        </w:rPr>
        <w:t>орых запланированный срок не наступил – 3, с нарушением установленного срока – отсутствуют.</w:t>
      </w:r>
      <w:r>
        <w:rPr>
          <w:rFonts w:ascii="Times New Roman" w:hAnsi="Times New Roman"/>
          <w:sz w:val="28"/>
        </w:rPr>
        <w:tab/>
      </w:r>
    </w:p>
    <w:p w14:paraId="1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Достижение целей и задач подпрограммы 1 оценивается на основании 3 контрольных событий.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исполнения основного мероприятия 1.1 «</w:t>
      </w:r>
      <w:r>
        <w:rPr>
          <w:rFonts w:ascii="Times New Roman" w:hAnsi="Times New Roman"/>
          <w:sz w:val="28"/>
        </w:rPr>
        <w:t>Создание условий для развити</w:t>
      </w:r>
      <w:r>
        <w:rPr>
          <w:rFonts w:ascii="Times New Roman" w:hAnsi="Times New Roman"/>
          <w:sz w:val="28"/>
        </w:rPr>
        <w:t>я территорий путем вовлечения в оборот земельных участков в целях жилищного строительства, в том числе в целях жилищного строительства</w:t>
      </w:r>
      <w:r>
        <w:rPr>
          <w:rFonts w:ascii="Times New Roman" w:hAnsi="Times New Roman"/>
          <w:sz w:val="28"/>
        </w:rPr>
        <w:t>» комитетом по градостроительству и архитектуре Администрации города Волг</w:t>
      </w:r>
      <w:r>
        <w:rPr>
          <w:rFonts w:ascii="Times New Roman" w:hAnsi="Times New Roman"/>
          <w:sz w:val="28"/>
        </w:rPr>
        <w:t>одонска на постоянной основе проводится п</w:t>
      </w:r>
      <w:r>
        <w:rPr>
          <w:rFonts w:ascii="Times New Roman" w:hAnsi="Times New Roman"/>
          <w:sz w:val="28"/>
        </w:rPr>
        <w:t>одбор те</w:t>
      </w:r>
      <w:r>
        <w:rPr>
          <w:rFonts w:ascii="Times New Roman" w:hAnsi="Times New Roman"/>
          <w:sz w:val="28"/>
        </w:rPr>
        <w:t>рриторий и изъятых земельных участков, возможных для формирования инвестиционных площадок</w:t>
      </w:r>
      <w:r>
        <w:rPr>
          <w:rFonts w:ascii="Times New Roman" w:hAnsi="Times New Roman"/>
          <w:sz w:val="28"/>
        </w:rPr>
        <w:t xml:space="preserve"> для жилищного строительства и комплексного освоения в целях жилищного строительства. Ведется работа по подготовке технического задания на разработку графических матер</w:t>
      </w:r>
      <w:r>
        <w:rPr>
          <w:rFonts w:ascii="Times New Roman" w:hAnsi="Times New Roman"/>
          <w:sz w:val="28"/>
        </w:rPr>
        <w:t xml:space="preserve">иалов по планировке территорий и </w:t>
      </w:r>
      <w:r>
        <w:rPr>
          <w:rFonts w:ascii="Times New Roman" w:hAnsi="Times New Roman"/>
          <w:sz w:val="28"/>
        </w:rPr>
        <w:t>формирование земельных участков с целью проведения аукционных торгов по продаже и продаже права на заключение договора аренды земельных участков для жилищного и иного строительства на 2023 год.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Контрольное</w:t>
      </w:r>
      <w:r>
        <w:rPr>
          <w:rFonts w:ascii="Times New Roman" w:hAnsi="Times New Roman"/>
          <w:sz w:val="28"/>
        </w:rPr>
        <w:t xml:space="preserve"> событие основного мероприятия «Перечень земельных участков (инвестиционных площадок) для строительства с целью их реализации с аукциона» будет выполнено в установленные сроки.</w:t>
      </w:r>
    </w:p>
    <w:p w14:paraId="1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исполнения основного мероприятия 1.2 «</w:t>
      </w:r>
      <w:r>
        <w:rPr>
          <w:rFonts w:ascii="Times New Roman" w:hAnsi="Times New Roman"/>
          <w:sz w:val="28"/>
        </w:rPr>
        <w:t>Обеспечение перспективных земель</w:t>
      </w:r>
      <w:r>
        <w:rPr>
          <w:rFonts w:ascii="Times New Roman" w:hAnsi="Times New Roman"/>
          <w:sz w:val="28"/>
        </w:rPr>
        <w:t>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</w:r>
      <w:r>
        <w:rPr>
          <w:rFonts w:ascii="Times New Roman" w:hAnsi="Times New Roman"/>
          <w:sz w:val="28"/>
        </w:rPr>
        <w:t>» за о</w:t>
      </w:r>
      <w:r>
        <w:rPr>
          <w:rFonts w:ascii="Times New Roman" w:hAnsi="Times New Roman"/>
          <w:sz w:val="28"/>
        </w:rPr>
        <w:t xml:space="preserve">тчетный период проведено 4 заседания </w:t>
      </w:r>
      <w:r>
        <w:rPr>
          <w:rFonts w:ascii="Times New Roman" w:hAnsi="Times New Roman"/>
          <w:sz w:val="28"/>
        </w:rPr>
        <w:t>постоянно действую</w:t>
      </w:r>
      <w:r>
        <w:rPr>
          <w:rFonts w:ascii="Times New Roman" w:hAnsi="Times New Roman"/>
          <w:sz w:val="28"/>
        </w:rPr>
        <w:t xml:space="preserve">щей комиссии по подготовке проекта Правил землепользования и застройки муниципального образования городского округа «Город Волгодонск» 18.01.2022, 11.02.2022, 20.04.2022, 30.06.2022.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Контрольное событие основного мероприятия 1.2 программы «Подготовка прое</w:t>
      </w:r>
      <w:r>
        <w:rPr>
          <w:rFonts w:ascii="Times New Roman" w:hAnsi="Times New Roman"/>
          <w:sz w:val="28"/>
        </w:rPr>
        <w:t xml:space="preserve">кта решения </w:t>
      </w:r>
      <w:r>
        <w:rPr>
          <w:rFonts w:ascii="Times New Roman" w:hAnsi="Times New Roman"/>
          <w:sz w:val="28"/>
        </w:rPr>
        <w:t>Волгодонской</w:t>
      </w:r>
      <w:r>
        <w:rPr>
          <w:rFonts w:ascii="Times New Roman" w:hAnsi="Times New Roman"/>
          <w:sz w:val="28"/>
        </w:rPr>
        <w:t xml:space="preserve"> городской Думы «О внесении изменений в решение </w:t>
      </w:r>
      <w:r>
        <w:rPr>
          <w:rFonts w:ascii="Times New Roman" w:hAnsi="Times New Roman"/>
          <w:sz w:val="28"/>
        </w:rPr>
        <w:t>Волгодонской</w:t>
      </w:r>
      <w:r>
        <w:rPr>
          <w:rFonts w:ascii="Times New Roman" w:hAnsi="Times New Roman"/>
          <w:sz w:val="28"/>
        </w:rPr>
        <w:t xml:space="preserve"> городской Думы от 19.12.2008 №190 «Об утверждении Правил землепользования и застройки муниципального образования городского округа «Город Волгодонск» (далее - Правила) утв</w:t>
      </w:r>
      <w:r>
        <w:rPr>
          <w:rFonts w:ascii="Times New Roman" w:hAnsi="Times New Roman"/>
          <w:sz w:val="28"/>
        </w:rPr>
        <w:t xml:space="preserve">ерждено решение </w:t>
      </w:r>
      <w:r>
        <w:rPr>
          <w:rFonts w:ascii="Times New Roman" w:hAnsi="Times New Roman"/>
          <w:sz w:val="28"/>
        </w:rPr>
        <w:t>Волгодонской</w:t>
      </w:r>
      <w:r>
        <w:rPr>
          <w:rFonts w:ascii="Times New Roman" w:hAnsi="Times New Roman"/>
          <w:sz w:val="28"/>
        </w:rPr>
        <w:t xml:space="preserve"> городской Думы от 19.12.2008 № 190 «Об утверждении Правил землепользования и застройки муниципального образования городского округа «Город Волгодонск» решением </w:t>
      </w:r>
      <w:r>
        <w:rPr>
          <w:rFonts w:ascii="Times New Roman" w:hAnsi="Times New Roman"/>
          <w:sz w:val="28"/>
        </w:rPr>
        <w:t>Волгодонской</w:t>
      </w:r>
      <w:r>
        <w:rPr>
          <w:rFonts w:ascii="Times New Roman" w:hAnsi="Times New Roman"/>
          <w:sz w:val="28"/>
        </w:rPr>
        <w:t xml:space="preserve"> городской</w:t>
      </w:r>
      <w:r>
        <w:rPr>
          <w:rFonts w:ascii="Times New Roman" w:hAnsi="Times New Roman"/>
          <w:sz w:val="28"/>
        </w:rPr>
        <w:t xml:space="preserve"> Думы от 26.05.2022  № 47. Изменения в Правил</w:t>
      </w:r>
      <w:r>
        <w:rPr>
          <w:rFonts w:ascii="Times New Roman" w:hAnsi="Times New Roman"/>
          <w:sz w:val="28"/>
        </w:rPr>
        <w:t xml:space="preserve">а вносятся по мере необходимости. 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исполнения основного мероприятия 1.3 «</w:t>
      </w:r>
      <w:r>
        <w:rPr>
          <w:rFonts w:ascii="Times New Roman" w:hAnsi="Times New Roman"/>
          <w:sz w:val="28"/>
        </w:rPr>
        <w:t>Обеспечение мероприятий по снижению административных барьеров</w:t>
      </w:r>
      <w:r>
        <w:rPr>
          <w:rFonts w:ascii="Times New Roman" w:hAnsi="Times New Roman"/>
          <w:sz w:val="28"/>
        </w:rPr>
        <w:t>» комитетом по градостроительству и архитектуре Администрации города Волгодонска при подготовке градостроительно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 плана земельного участка проводится запрос технических условий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на подключение к городским инженерным коммуникациям</w:t>
      </w:r>
      <w:r>
        <w:rPr>
          <w:rFonts w:ascii="Times New Roman" w:hAnsi="Times New Roman"/>
          <w:sz w:val="28"/>
        </w:rPr>
        <w:t xml:space="preserve"> у </w:t>
      </w:r>
      <w:r>
        <w:rPr>
          <w:rFonts w:ascii="Times New Roman" w:hAnsi="Times New Roman"/>
          <w:sz w:val="28"/>
        </w:rPr>
        <w:t>ресурсоснабжающих</w:t>
      </w:r>
      <w:r>
        <w:rPr>
          <w:rFonts w:ascii="Times New Roman" w:hAnsi="Times New Roman"/>
          <w:sz w:val="28"/>
        </w:rPr>
        <w:t xml:space="preserve"> организаций. </w:t>
      </w:r>
      <w:r>
        <w:rPr>
          <w:rFonts w:ascii="Times New Roman" w:hAnsi="Times New Roman"/>
          <w:sz w:val="28"/>
        </w:rPr>
        <w:t>На 01.07.2022 год выдано 179 градостроительных планов земельного участка.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на текущую дату принято 4 </w:t>
      </w:r>
      <w:r>
        <w:rPr>
          <w:rFonts w:ascii="Times New Roman" w:hAnsi="Times New Roman"/>
          <w:sz w:val="28"/>
        </w:rPr>
        <w:t xml:space="preserve">постановления на отклонение от предельных параметров разрешенного строительства, реконструкции объектов капитального строительства. Данная муниципальная </w:t>
      </w:r>
      <w:r>
        <w:rPr>
          <w:rFonts w:ascii="Times New Roman" w:hAnsi="Times New Roman"/>
          <w:sz w:val="28"/>
        </w:rPr>
        <w:t>услуга</w:t>
      </w:r>
      <w:r>
        <w:rPr>
          <w:rFonts w:ascii="Times New Roman" w:hAnsi="Times New Roman"/>
          <w:sz w:val="28"/>
        </w:rPr>
        <w:t xml:space="preserve"> оказывается по мере поступления заявлений от заинтересованных лиц.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исполнения Контрольн</w:t>
      </w:r>
      <w:r>
        <w:rPr>
          <w:rFonts w:ascii="Times New Roman" w:hAnsi="Times New Roman"/>
          <w:sz w:val="28"/>
        </w:rPr>
        <w:t xml:space="preserve">ого события основного мероприятия 2.3 программы «Предельное количество процедур, необходимых для получения разрешения на строительство модельного объекта, в том числе для стандартного </w:t>
      </w:r>
      <w:r>
        <w:rPr>
          <w:rFonts w:ascii="Times New Roman" w:hAnsi="Times New Roman"/>
          <w:sz w:val="28"/>
        </w:rPr>
        <w:t>жилья» достигнут</w:t>
      </w:r>
      <w:r>
        <w:rPr>
          <w:rFonts w:ascii="Times New Roman" w:hAnsi="Times New Roman"/>
          <w:sz w:val="28"/>
        </w:rPr>
        <w:t xml:space="preserve"> плановый показатель в 8 процедур при отсутствии необход</w:t>
      </w:r>
      <w:r>
        <w:rPr>
          <w:rFonts w:ascii="Times New Roman" w:hAnsi="Times New Roman"/>
          <w:sz w:val="28"/>
        </w:rPr>
        <w:t>имости прохождения экспертизы проектной документации на строительство объекта капитального строительства.</w:t>
      </w:r>
    </w:p>
    <w:p w14:paraId="1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основных мероприятий подпрограммы 2 в 202</w:t>
      </w:r>
      <w:r>
        <w:rPr>
          <w:rFonts w:ascii="Times New Roman" w:hAnsi="Times New Roman"/>
          <w:sz w:val="28"/>
        </w:rPr>
        <w:t>2 году предусмотрено 43156,0 тыс. рублей, сводной бюджетной росписью 43156,0 тыс. рублей. Факти</w:t>
      </w:r>
      <w:r>
        <w:rPr>
          <w:rFonts w:ascii="Times New Roman" w:hAnsi="Times New Roman"/>
          <w:sz w:val="28"/>
        </w:rPr>
        <w:t>ческое освоение средств по итогам I полугодия 2022 года составило 10451,1 тыс. рублей или 24,2 процента.</w:t>
      </w:r>
    </w:p>
    <w:p w14:paraId="1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подпрограммы 2 в 2022 году предусмотрено 3 основных мероприятия, из которых запланированный срок не наступил – 3, с нарушением </w:t>
      </w:r>
      <w:r>
        <w:rPr>
          <w:rFonts w:ascii="Times New Roman" w:hAnsi="Times New Roman"/>
          <w:sz w:val="28"/>
        </w:rPr>
        <w:t xml:space="preserve">установленного </w:t>
      </w:r>
      <w:r>
        <w:rPr>
          <w:rFonts w:ascii="Times New Roman" w:hAnsi="Times New Roman"/>
          <w:sz w:val="28"/>
        </w:rPr>
        <w:t>срока – отсутствуют.</w:t>
      </w:r>
      <w:r>
        <w:rPr>
          <w:rFonts w:ascii="Times New Roman" w:hAnsi="Times New Roman"/>
          <w:sz w:val="28"/>
        </w:rPr>
        <w:tab/>
      </w:r>
    </w:p>
    <w:p w14:paraId="1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Достижение целей и задач подпрограммы 2 оценивается на основании 3 контрольных событий.</w:t>
      </w:r>
    </w:p>
    <w:p w14:paraId="1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I полугодия 2022 года достигнуто 1 контрольное событие ранее запланированного срока, планируются исполнить в установленный срок плана ре</w:t>
      </w:r>
      <w:r>
        <w:rPr>
          <w:rFonts w:ascii="Times New Roman" w:hAnsi="Times New Roman"/>
          <w:sz w:val="28"/>
        </w:rPr>
        <w:t>ализации –2.</w:t>
      </w:r>
    </w:p>
    <w:p w14:paraId="1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I полугодия 2022 года достигнуто ранее установленного срока контрольное событие 2.1 программы «Количество выданных молодым семьям свидетельств о праве на получение социальной выплаты на приобретение жилого помещения или создание объе</w:t>
      </w:r>
      <w:r>
        <w:rPr>
          <w:rFonts w:ascii="Times New Roman" w:hAnsi="Times New Roman"/>
          <w:sz w:val="28"/>
        </w:rPr>
        <w:t>кта индивидуального жилищного строительства». С министерством строительства, архитектуры и территориального развития Ростовской области (далее – министерство строительства РО) заключено соглашение от 09.02.2022 №60712000-1-2022-014 о предоставлении субсиди</w:t>
      </w:r>
      <w:r>
        <w:rPr>
          <w:rFonts w:ascii="Times New Roman" w:hAnsi="Times New Roman"/>
          <w:sz w:val="28"/>
        </w:rPr>
        <w:t>и из бюджета субъекта Российской Федерации местному бюджету 4 молодым семьям – претендентам на получение социальной выплаты в 2022 году в размере 6240,0 тыс. рублей. Свидетельства выданы 01.03.2022 года.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I полугодия 2022 </w:t>
      </w:r>
      <w:r>
        <w:rPr>
          <w:rFonts w:ascii="Times New Roman" w:hAnsi="Times New Roman"/>
          <w:sz w:val="28"/>
        </w:rPr>
        <w:t>года достигнут</w:t>
      </w:r>
      <w:r>
        <w:rPr>
          <w:rFonts w:ascii="Times New Roman" w:hAnsi="Times New Roman"/>
          <w:sz w:val="28"/>
        </w:rPr>
        <w:t xml:space="preserve"> промежуточный результат контрольного события 2.2 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родителей». </w:t>
      </w:r>
      <w:r>
        <w:rPr>
          <w:rFonts w:ascii="Times New Roman" w:hAnsi="Times New Roman"/>
          <w:sz w:val="28"/>
        </w:rPr>
        <w:t>С министерством строительства РО зак</w:t>
      </w:r>
      <w:r>
        <w:rPr>
          <w:rFonts w:ascii="Times New Roman" w:hAnsi="Times New Roman"/>
          <w:sz w:val="28"/>
        </w:rPr>
        <w:t>лючены соглашение от 21.01.2022 № 46-ДС и дополнительное соглашение от 22.02.2022 № 1 о предоставлении субвенций на осуществление государственных полномочий по обеспечению жилыми помещениями 22 детей-сирот и детей, оставшихся без попечения родителей, лиц и</w:t>
      </w:r>
      <w:r>
        <w:rPr>
          <w:rFonts w:ascii="Times New Roman" w:hAnsi="Times New Roman"/>
          <w:sz w:val="28"/>
        </w:rPr>
        <w:t xml:space="preserve">з числа детей-сирот и детей, оставшихся без попечения родителей, на общую сумму 36915,0 тыс. рублей за счет средств областного бюджета. 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отчетный период по результатам проведенных электронных аукционов зарегистрированы в муниципальную собственность 3 му</w:t>
      </w:r>
      <w:r>
        <w:rPr>
          <w:rFonts w:ascii="Times New Roman" w:hAnsi="Times New Roman"/>
          <w:sz w:val="28"/>
        </w:rPr>
        <w:t>ниципальных контракта на приобретение жилых помещений для детей-сирот на вторичном рынке жилья, из них: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–1 ребенок-сирота обеспечен жилым помещением и с ним заключен договор специализированного найма жилого помещения 28.06.2022;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2 детей-сирот будут обесп</w:t>
      </w:r>
      <w:r>
        <w:rPr>
          <w:rFonts w:ascii="Times New Roman" w:hAnsi="Times New Roman"/>
          <w:sz w:val="28"/>
        </w:rPr>
        <w:t xml:space="preserve">ечены жилыми помещениями и заключены с ними договора специализированного найма жилого помещения в июле 2022 года. 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Фактическое освоение средств областного бюджета составило 5033,9 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ублей.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</w:t>
      </w:r>
      <w:r>
        <w:rPr>
          <w:rFonts w:ascii="Times New Roman" w:hAnsi="Times New Roman"/>
          <w:sz w:val="28"/>
        </w:rPr>
        <w:t>анализа исполнения плана реализации муниципальной програм</w:t>
      </w:r>
      <w:r>
        <w:rPr>
          <w:rFonts w:ascii="Times New Roman" w:hAnsi="Times New Roman"/>
          <w:sz w:val="28"/>
        </w:rPr>
        <w:t>мы</w:t>
      </w:r>
      <w:r>
        <w:rPr>
          <w:rFonts w:ascii="Times New Roman" w:hAnsi="Times New Roman"/>
          <w:sz w:val="28"/>
        </w:rPr>
        <w:t xml:space="preserve"> не установлено нарушение сроков исполнения основных мероприятий и контрольных событий.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города Волгодонска по строительству                                              Ю.С. </w:t>
      </w:r>
      <w:r>
        <w:rPr>
          <w:rFonts w:ascii="Times New Roman" w:hAnsi="Times New Roman"/>
          <w:sz w:val="28"/>
        </w:rPr>
        <w:t>Забазнов</w:t>
      </w:r>
    </w:p>
    <w:p w14:paraId="27000000">
      <w:pPr>
        <w:spacing w:after="0"/>
        <w:ind/>
        <w:jc w:val="both"/>
        <w:rPr>
          <w:rFonts w:ascii="Times New Roman&quot;" w:hAnsi="Times New Roman&quot;"/>
          <w:sz w:val="28"/>
        </w:rPr>
      </w:pPr>
      <w:r>
        <w:rPr>
          <w:rFonts w:ascii="Times New Roman&quot;" w:hAnsi="Times New Roman&quot;"/>
        </w:rPr>
        <w:t> 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Екатерина Николаевна Рындина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Любовь Валерьевна </w:t>
      </w:r>
      <w:r>
        <w:rPr>
          <w:rFonts w:ascii="Times New Roman" w:hAnsi="Times New Roman"/>
          <w:sz w:val="20"/>
        </w:rPr>
        <w:t>Скакунова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(8639) 22-23-68                                   (8639) 22-68-32</w:t>
      </w:r>
    </w:p>
    <w:sectPr>
      <w:pgSz w:h="16838" w:orient="portrait" w:w="11906"/>
      <w:pgMar w:bottom="709" w:footer="709" w:gutter="0" w:header="709" w:left="1701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Default Paragraph Font"/>
    <w:link w:val="Style_2_ch"/>
  </w:style>
  <w:style w:styleId="Style_2_ch" w:type="character">
    <w:name w:val="Default Paragraph Font"/>
    <w:link w:val="Style_2"/>
  </w:style>
  <w:style w:styleId="Style_3" w:type="paragraph">
    <w:name w:val="toc 2"/>
    <w:next w:val="Style_1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Знак2 Знак Знак Знак Знак Знак Знак Знак Знак Знак Знак Знак Знак Знак Знак Знак"/>
    <w:basedOn w:val="Style_1"/>
    <w:link w:val="Style_4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4_ch" w:type="character">
    <w:name w:val="Знак2 Знак Знак Знак Знак Знак Знак Знак Знак Знак Знак Знак Знак Знак Знак Знак"/>
    <w:basedOn w:val="Style_1_ch"/>
    <w:link w:val="Style_4"/>
    <w:rPr>
      <w:rFonts w:ascii="Tahoma" w:hAnsi="Tahoma"/>
      <w:sz w:val="20"/>
    </w:rPr>
  </w:style>
  <w:style w:styleId="Style_5" w:type="paragraph">
    <w:name w:val="toc 4"/>
    <w:next w:val="Style_1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1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ConsPlusCell"/>
    <w:link w:val="Style_8_ch"/>
    <w:pPr>
      <w:widowControl w:val="0"/>
      <w:ind/>
    </w:pPr>
    <w:rPr>
      <w:sz w:val="22"/>
    </w:rPr>
  </w:style>
  <w:style w:styleId="Style_8_ch" w:type="character">
    <w:name w:val="ConsPlusCell"/>
    <w:link w:val="Style_8"/>
    <w:rPr>
      <w:sz w:val="22"/>
    </w:rPr>
  </w:style>
  <w:style w:styleId="Style_9" w:type="paragraph">
    <w:name w:val="heading 3"/>
    <w:basedOn w:val="Style_1"/>
    <w:link w:val="Style_9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9_ch" w:type="character">
    <w:name w:val="heading 3"/>
    <w:basedOn w:val="Style_1_ch"/>
    <w:link w:val="Style_9"/>
    <w:rPr>
      <w:rFonts w:ascii="Times New Roman" w:hAnsi="Times New Roman"/>
      <w:b w:val="1"/>
      <w:sz w:val="27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ConsPlu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Normal (Web)"/>
    <w:basedOn w:val="Style_1"/>
    <w:link w:val="Style_12_ch"/>
    <w:pPr>
      <w:spacing w:afterAutospacing="on" w:beforeAutospacing="on" w:line="240" w:lineRule="auto"/>
      <w:ind/>
      <w:jc w:val="both"/>
    </w:pPr>
    <w:rPr>
      <w:rFonts w:ascii="Times New Roman" w:hAnsi="Times New Roman"/>
      <w:sz w:val="24"/>
    </w:rPr>
  </w:style>
  <w:style w:styleId="Style_12_ch" w:type="character">
    <w:name w:val="Normal (Web)"/>
    <w:basedOn w:val="Style_1_ch"/>
    <w:link w:val="Style_12"/>
    <w:rPr>
      <w:rFonts w:ascii="Times New Roman" w:hAnsi="Times New Roman"/>
      <w:sz w:val="24"/>
    </w:rPr>
  </w:style>
  <w:style w:styleId="Style_13" w:type="paragraph">
    <w:name w:val="toc 3"/>
    <w:next w:val="Style_1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1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1_ch"/>
    <w:link w:val="Style_14"/>
    <w:rPr>
      <w:rFonts w:ascii="Tahoma" w:hAnsi="Tahoma"/>
      <w:sz w:val="16"/>
    </w:rPr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No Spacing"/>
    <w:link w:val="Style_16_ch"/>
    <w:rPr>
      <w:rFonts w:ascii="Times New Roman" w:hAnsi="Times New Roman"/>
      <w:sz w:val="28"/>
    </w:rPr>
  </w:style>
  <w:style w:styleId="Style_16_ch" w:type="character">
    <w:name w:val="No Spacing"/>
    <w:link w:val="Style_16"/>
    <w:rPr>
      <w:rFonts w:ascii="Times New Roman" w:hAnsi="Times New Roman"/>
      <w:sz w:val="28"/>
    </w:rPr>
  </w:style>
  <w:style w:styleId="Style_17" w:type="paragraph">
    <w:name w:val="heading 1"/>
    <w:next w:val="Style_1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1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ind/>
      <w:jc w:val="both"/>
    </w:pPr>
    <w:rPr>
      <w:rFonts w:ascii="XO Thames" w:hAnsi="XO Thames"/>
    </w:rPr>
  </w:style>
  <w:style w:styleId="Style_22_ch" w:type="character">
    <w:name w:val="Header and Footer"/>
    <w:link w:val="Style_22"/>
    <w:rPr>
      <w:rFonts w:ascii="XO Thames" w:hAnsi="XO Thames"/>
    </w:rPr>
  </w:style>
  <w:style w:styleId="Style_23" w:type="paragraph">
    <w:name w:val="Body Text Indent 3"/>
    <w:basedOn w:val="Style_1"/>
    <w:link w:val="Style_23_ch"/>
    <w:pPr>
      <w:spacing w:after="120" w:line="240" w:lineRule="auto"/>
      <w:ind w:firstLine="0" w:left="283"/>
      <w:jc w:val="both"/>
    </w:pPr>
    <w:rPr>
      <w:rFonts w:ascii="Times New Roman" w:hAnsi="Times New Roman"/>
      <w:sz w:val="16"/>
    </w:rPr>
  </w:style>
  <w:style w:styleId="Style_23_ch" w:type="character">
    <w:name w:val="Body Text Indent 3"/>
    <w:basedOn w:val="Style_1_ch"/>
    <w:link w:val="Style_23"/>
    <w:rPr>
      <w:rFonts w:ascii="Times New Roman" w:hAnsi="Times New Roman"/>
      <w:sz w:val="16"/>
    </w:rPr>
  </w:style>
  <w:style w:styleId="Style_24" w:type="paragraph">
    <w:name w:val="toc 9"/>
    <w:next w:val="Style_1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1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1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ConsPlusNonformat"/>
    <w:link w:val="Style_27_ch"/>
    <w:pPr>
      <w:widowControl w:val="0"/>
      <w:ind/>
    </w:pPr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28" w:type="paragraph">
    <w:name w:val="Subtitle"/>
    <w:next w:val="Style_1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List Paragraph"/>
    <w:basedOn w:val="Style_1"/>
    <w:link w:val="Style_29_ch"/>
    <w:pPr>
      <w:ind w:firstLine="0" w:left="720"/>
      <w:contextualSpacing w:val="1"/>
    </w:pPr>
  </w:style>
  <w:style w:styleId="Style_29_ch" w:type="character">
    <w:name w:val="List Paragraph"/>
    <w:basedOn w:val="Style_1_ch"/>
    <w:link w:val="Style_29"/>
  </w:style>
  <w:style w:styleId="Style_30" w:type="paragraph">
    <w:name w:val="Title"/>
    <w:next w:val="Style_1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Обычный1"/>
    <w:link w:val="Style_32_ch"/>
    <w:rPr>
      <w:sz w:val="22"/>
    </w:rPr>
  </w:style>
  <w:style w:styleId="Style_32_ch" w:type="character">
    <w:name w:val="Обычный1"/>
    <w:link w:val="Style_32"/>
    <w:rPr>
      <w:sz w:val="22"/>
    </w:rPr>
  </w:style>
  <w:style w:styleId="Style_33" w:type="paragraph">
    <w:name w:val="heading 2"/>
    <w:next w:val="Style_1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table">
    <w:name w:val="Table Grid"/>
    <w:basedOn w:val="Style_35"/>
    <w:rPr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2022-07-20T14:00:59Z</dcterms:modified>
</cp:coreProperties>
</file>