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w:t>
      </w:r>
      <w:r w:rsidR="00DB7C28" w:rsidRPr="00883284">
        <w:rPr>
          <w:sz w:val="28"/>
          <w:szCs w:val="28"/>
        </w:rPr>
        <w:lastRenderedPageBreak/>
        <w:t xml:space="preserve">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1E3A27" w:rsidRDefault="006B6CA3" w:rsidP="006B6CA3">
      <w:pPr>
        <w:pStyle w:val="ae"/>
        <w:ind w:firstLine="709"/>
        <w:jc w:val="both"/>
        <w:rPr>
          <w:sz w:val="28"/>
          <w:szCs w:val="28"/>
        </w:rPr>
      </w:pPr>
      <w:r w:rsidRPr="001E3A27">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1E3A27">
        <w:rPr>
          <w:sz w:val="28"/>
          <w:szCs w:val="28"/>
        </w:rPr>
        <w:t>.</w:t>
      </w:r>
    </w:p>
    <w:p w:rsidR="00012FB9" w:rsidRDefault="00012FB9"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315569" w:rsidRDefault="0037529E" w:rsidP="00695145">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325FC" w:rsidRDefault="0037529E" w:rsidP="00695145">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37529E" w:rsidRPr="00292DD9" w:rsidRDefault="0037529E"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Pr="009F2701" w:rsidRDefault="00E47F3E" w:rsidP="00AD3268">
            <w:pPr>
              <w:ind w:left="-57" w:right="-57"/>
              <w:jc w:val="center"/>
              <w:rPr>
                <w:sz w:val="28"/>
                <w:szCs w:val="28"/>
              </w:rPr>
            </w:pPr>
            <w:r w:rsidRPr="009F2701">
              <w:rPr>
                <w:sz w:val="28"/>
                <w:szCs w:val="28"/>
              </w:rPr>
              <w:t>05 1 00 58330</w:t>
            </w: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9625C6" w:rsidRDefault="00907E82"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411A76" w:rsidRDefault="00907E82"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411A76" w:rsidRDefault="00907E82"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07E82"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07E82"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«Развитие общего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A90154"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0154" w:rsidRPr="00292DD9" w:rsidRDefault="00A90154"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A90154" w:rsidRPr="00292DD9" w:rsidRDefault="00A90154"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Признан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z w:val="28"/>
                <w:szCs w:val="28"/>
              </w:rPr>
              <w:t>Признан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06 4 00 12050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06 4 00 12090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E297F" w:rsidRDefault="00907E82"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F28BB" w:rsidRDefault="00907E8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ind w:left="-57" w:right="-57"/>
              <w:rPr>
                <w:sz w:val="28"/>
                <w:szCs w:val="28"/>
              </w:rPr>
            </w:pPr>
            <w:r w:rsidRPr="00292DD9">
              <w:rPr>
                <w:sz w:val="28"/>
                <w:szCs w:val="28"/>
              </w:rPr>
              <w:t>Подпрограмма «Доступная среда»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08 5 00 00000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09 1 00 00000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07E82"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EF59A1" w:rsidRDefault="00907E82"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10 2 00 00000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FC789E" w:rsidRDefault="00907E82"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907E82"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07E82" w:rsidRPr="002325FC" w:rsidRDefault="00907E82"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EF59A1" w:rsidRDefault="00907E82"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14 2 00 45340</w:t>
            </w:r>
          </w:p>
          <w:p w:rsidR="00907E82" w:rsidRPr="002325FC" w:rsidRDefault="00907E82"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Депутаты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Волгодонская городская Дума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07E82"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C62322" w:rsidRDefault="00907E82"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C62322" w:rsidRDefault="00907E82"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Контрольно – счетная палата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Финансовое обеспечение непредвиденных расходов</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ind w:left="-57" w:right="-57"/>
              <w:jc w:val="both"/>
              <w:rPr>
                <w:sz w:val="28"/>
                <w:szCs w:val="28"/>
              </w:rPr>
            </w:pPr>
            <w:r w:rsidRPr="002325FC">
              <w:rPr>
                <w:sz w:val="28"/>
                <w:szCs w:val="28"/>
              </w:rPr>
              <w:t>Иные непрограммные мероприятия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4B1C32" w:rsidRDefault="00907E82"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4B1C32" w:rsidRDefault="00907E82"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99" w:rsidRDefault="000F7B99">
      <w:r>
        <w:separator/>
      </w:r>
    </w:p>
  </w:endnote>
  <w:endnote w:type="continuationSeparator" w:id="1">
    <w:p w:rsidR="000F7B99" w:rsidRDefault="000F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CA72C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72C8" w:rsidRDefault="00CA72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CA72C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D4A9C">
      <w:rPr>
        <w:rStyle w:val="a9"/>
        <w:noProof/>
      </w:rPr>
      <w:t>2</w:t>
    </w:r>
    <w:r>
      <w:rPr>
        <w:rStyle w:val="a9"/>
      </w:rPr>
      <w:fldChar w:fldCharType="end"/>
    </w:r>
  </w:p>
  <w:p w:rsidR="00CA72C8" w:rsidRDefault="00CA72C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99" w:rsidRDefault="000F7B99">
      <w:r>
        <w:separator/>
      </w:r>
    </w:p>
  </w:footnote>
  <w:footnote w:type="continuationSeparator" w:id="1">
    <w:p w:rsidR="000F7B99" w:rsidRDefault="000F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1A96-F766-4700-A5F4-FD4A3515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40702</Words>
  <Characters>232006</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272164</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2020-06-03T11:58:00Z</dcterms:created>
  <dcterms:modified xsi:type="dcterms:W3CDTF">2020-06-03T11:58:00Z</dcterms:modified>
</cp:coreProperties>
</file>