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FA" w:rsidRDefault="007B7FFA" w:rsidP="007B7FFA">
      <w:pPr>
        <w:jc w:val="center"/>
      </w:pPr>
      <w:r>
        <w:t>ОТЧЕТ</w:t>
      </w:r>
    </w:p>
    <w:p w:rsidR="00EF475C" w:rsidRDefault="007B7FFA" w:rsidP="00623A47">
      <w:pPr>
        <w:jc w:val="center"/>
      </w:pPr>
      <w:r>
        <w:t xml:space="preserve">о реализации проекта инициативного </w:t>
      </w:r>
      <w:proofErr w:type="spellStart"/>
      <w:r>
        <w:t>бюджетирования</w:t>
      </w:r>
      <w:proofErr w:type="spellEnd"/>
      <w:r>
        <w:t xml:space="preserve"> </w:t>
      </w:r>
    </w:p>
    <w:p w:rsidR="00EF475C" w:rsidRDefault="00EF475C" w:rsidP="00EF475C">
      <w:pPr>
        <w:jc w:val="center"/>
      </w:pPr>
    </w:p>
    <w:p w:rsidR="00A34C42" w:rsidRDefault="00A34C42" w:rsidP="006F649A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E3472F">
        <w:t>Наименование</w:t>
      </w:r>
      <w:r w:rsidR="00E3472F" w:rsidRPr="00E3472F">
        <w:rPr>
          <w:bCs/>
        </w:rPr>
        <w:t xml:space="preserve"> поселения, муниципального района или городского округ</w:t>
      </w:r>
      <w:r w:rsidR="00E3472F">
        <w:rPr>
          <w:bCs/>
        </w:rPr>
        <w:t>а</w:t>
      </w:r>
      <w:r w:rsidR="00E3472F" w:rsidRPr="00E3472F">
        <w:rPr>
          <w:bCs/>
        </w:rPr>
        <w:t>, на территории кот</w:t>
      </w:r>
      <w:r w:rsidR="00E3472F">
        <w:rPr>
          <w:bCs/>
        </w:rPr>
        <w:t>о</w:t>
      </w:r>
      <w:r w:rsidR="00E3472F" w:rsidRPr="00E3472F">
        <w:rPr>
          <w:bCs/>
        </w:rPr>
        <w:t>рого ре</w:t>
      </w:r>
      <w:r w:rsidR="00E3472F">
        <w:rPr>
          <w:bCs/>
        </w:rPr>
        <w:t>а</w:t>
      </w:r>
      <w:r w:rsidR="00E3472F" w:rsidRPr="00E3472F">
        <w:rPr>
          <w:bCs/>
        </w:rPr>
        <w:t>лизовывался проект иниц</w:t>
      </w:r>
      <w:r w:rsidR="00E3472F">
        <w:rPr>
          <w:bCs/>
        </w:rPr>
        <w:t xml:space="preserve">иативного </w:t>
      </w:r>
      <w:proofErr w:type="spellStart"/>
      <w:r w:rsidR="00E3472F">
        <w:rPr>
          <w:bCs/>
        </w:rPr>
        <w:t>бюджети</w:t>
      </w:r>
      <w:r w:rsidR="00E3472F" w:rsidRPr="00E3472F">
        <w:rPr>
          <w:bCs/>
        </w:rPr>
        <w:t>рования</w:t>
      </w:r>
      <w:proofErr w:type="gramStart"/>
      <w:r w:rsidR="00E3472F">
        <w:rPr>
          <w:bCs/>
        </w:rPr>
        <w:t>:</w:t>
      </w:r>
      <w:r w:rsidR="006F649A">
        <w:t>м</w:t>
      </w:r>
      <w:proofErr w:type="gramEnd"/>
      <w:r w:rsidR="006F649A">
        <w:t>униципальное</w:t>
      </w:r>
      <w:proofErr w:type="spellEnd"/>
      <w:r w:rsidR="006F649A">
        <w:t xml:space="preserve"> образование «Город Волгодонск».</w:t>
      </w:r>
    </w:p>
    <w:p w:rsidR="00EF475C" w:rsidRDefault="00A34C42" w:rsidP="00080E2D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Название</w:t>
      </w:r>
      <w:r w:rsidR="00EF475C">
        <w:t xml:space="preserve"> проекта</w:t>
      </w:r>
      <w:r w:rsidR="00BA1458">
        <w:t xml:space="preserve"> </w:t>
      </w:r>
      <w:r w:rsidR="002D714E">
        <w:t xml:space="preserve">инициативного </w:t>
      </w:r>
      <w:proofErr w:type="spellStart"/>
      <w:r w:rsidR="002D714E">
        <w:t>бюджетирования</w:t>
      </w:r>
      <w:proofErr w:type="spellEnd"/>
      <w:r w:rsidR="00EF475C">
        <w:t>:</w:t>
      </w:r>
      <w:r w:rsidR="009046C4">
        <w:t xml:space="preserve"> </w:t>
      </w:r>
      <w:r w:rsidR="006F649A">
        <w:t>«Мобиль</w:t>
      </w:r>
      <w:r w:rsidR="00BA1458">
        <w:t>ная «Детско-юношеская автошкола</w:t>
      </w:r>
      <w:r w:rsidR="006F649A">
        <w:t xml:space="preserve"> Академия дорожной безопасности» на базе </w:t>
      </w:r>
      <w:proofErr w:type="spellStart"/>
      <w:r w:rsidR="006F649A">
        <w:t>Автогородка</w:t>
      </w:r>
      <w:proofErr w:type="spellEnd"/>
      <w:r w:rsidR="006F649A">
        <w:t xml:space="preserve"> Учебно-тренировочного комплекса», расположенного по адресу: </w:t>
      </w:r>
      <w:proofErr w:type="gramStart"/>
      <w:r w:rsidR="006F649A">
        <w:t>г</w:t>
      </w:r>
      <w:proofErr w:type="gramEnd"/>
      <w:r w:rsidR="006F649A">
        <w:t>. Волгодонск, ул. Весенняя, 1».</w:t>
      </w:r>
    </w:p>
    <w:p w:rsidR="00EF475C" w:rsidRPr="00A34C42" w:rsidRDefault="0036298F" w:rsidP="006F649A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Даты</w:t>
      </w:r>
      <w:r w:rsidR="00EF475C" w:rsidRPr="00A34C42">
        <w:t xml:space="preserve"> начала и окончания реализации проекта</w:t>
      </w:r>
      <w:r w:rsidR="002D714E">
        <w:t xml:space="preserve"> инициативного </w:t>
      </w:r>
      <w:proofErr w:type="spellStart"/>
      <w:r w:rsidR="002D714E">
        <w:t>бюджетирования</w:t>
      </w:r>
      <w:proofErr w:type="spellEnd"/>
      <w:r w:rsidR="006F649A">
        <w:t xml:space="preserve">– </w:t>
      </w:r>
      <w:proofErr w:type="gramStart"/>
      <w:r w:rsidR="006F649A">
        <w:t xml:space="preserve">с </w:t>
      </w:r>
      <w:proofErr w:type="gramEnd"/>
      <w:r w:rsidR="006F649A" w:rsidRPr="006F649A">
        <w:t>28.04.2020г.</w:t>
      </w:r>
      <w:r w:rsidR="006F649A">
        <w:t xml:space="preserve"> по </w:t>
      </w:r>
      <w:r w:rsidR="00BA1458" w:rsidRPr="002F27C8">
        <w:t>27.09.2020г.</w:t>
      </w:r>
    </w:p>
    <w:p w:rsidR="008065F5" w:rsidRDefault="007B7FFA" w:rsidP="008065F5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Сведения о выполненных работах, оказанных услугах, закупленных товарах</w:t>
      </w:r>
      <w:r w:rsidR="002D714E">
        <w:t xml:space="preserve"> в рамках реализации </w:t>
      </w:r>
      <w:proofErr w:type="spellStart"/>
      <w:r w:rsidR="002D714E">
        <w:t>проекта</w:t>
      </w:r>
      <w:r w:rsidR="0036298F">
        <w:t>инициативного</w:t>
      </w:r>
      <w:proofErr w:type="spellEnd"/>
      <w:r w:rsidR="0036298F">
        <w:t xml:space="preserve"> </w:t>
      </w:r>
      <w:proofErr w:type="spellStart"/>
      <w:r w:rsidR="002D714E">
        <w:t>бюджетирования</w:t>
      </w:r>
      <w:proofErr w:type="spellEnd"/>
      <w:r>
        <w:t>:</w:t>
      </w:r>
      <w:r w:rsidR="008065F5">
        <w:t xml:space="preserve"> по результатам электронного аукциона заключен договор и поставлен школьный автобус (поставщик ООО </w:t>
      </w:r>
      <w:r w:rsidR="008065F5" w:rsidRPr="008065F5">
        <w:t>«</w:t>
      </w:r>
      <w:proofErr w:type="spellStart"/>
      <w:r w:rsidR="008065F5" w:rsidRPr="008065F5">
        <w:t>ПрофАвто</w:t>
      </w:r>
      <w:proofErr w:type="spellEnd"/>
      <w:r w:rsidR="008065F5" w:rsidRPr="008065F5">
        <w:t xml:space="preserve"> НН»</w:t>
      </w:r>
      <w:r w:rsidR="008065F5">
        <w:t xml:space="preserve">). На Портале закупок малого объема проведены процедуры по заключению договоров </w:t>
      </w:r>
      <w:r w:rsidR="00885826">
        <w:t xml:space="preserve">и </w:t>
      </w:r>
      <w:proofErr w:type="spellStart"/>
      <w:r w:rsidR="008065F5">
        <w:t>постав</w:t>
      </w:r>
      <w:r w:rsidR="00885826">
        <w:t>леноследующее</w:t>
      </w:r>
      <w:proofErr w:type="spellEnd"/>
      <w:r w:rsidR="00885826">
        <w:t xml:space="preserve"> </w:t>
      </w:r>
      <w:r w:rsidR="008065F5">
        <w:t>оборудовани</w:t>
      </w:r>
      <w:r w:rsidR="00885826">
        <w:t>е</w:t>
      </w:r>
      <w:r w:rsidR="008065F5">
        <w:t>:  карты прокатные (</w:t>
      </w:r>
      <w:r w:rsidR="00885826">
        <w:t xml:space="preserve">поставщик </w:t>
      </w:r>
      <w:r w:rsidR="008065F5">
        <w:t xml:space="preserve">ИП </w:t>
      </w:r>
      <w:r w:rsidR="00885826">
        <w:t>Сорокина О.Г.)</w:t>
      </w:r>
      <w:r w:rsidR="008065F5">
        <w:t>, ноутбук</w:t>
      </w:r>
      <w:r w:rsidR="00885826">
        <w:t xml:space="preserve"> (поставщик ИП </w:t>
      </w:r>
      <w:proofErr w:type="spellStart"/>
      <w:r w:rsidR="00885826">
        <w:t>Минько</w:t>
      </w:r>
      <w:proofErr w:type="spellEnd"/>
      <w:r w:rsidR="00885826">
        <w:t xml:space="preserve"> В.Ф.)</w:t>
      </w:r>
      <w:r w:rsidR="008065F5">
        <w:t>, шлемы для картинга</w:t>
      </w:r>
      <w:r w:rsidR="00885826">
        <w:t xml:space="preserve"> (поставщик ИП Бугаев О.В.)</w:t>
      </w:r>
      <w:r w:rsidR="008065F5">
        <w:t>, расходные материалы (памятки, магниты, закладки для книг)</w:t>
      </w:r>
      <w:r w:rsidR="00885826">
        <w:t xml:space="preserve"> (поставщик ИП </w:t>
      </w:r>
      <w:proofErr w:type="spellStart"/>
      <w:r w:rsidR="00885826">
        <w:t>Минько</w:t>
      </w:r>
      <w:proofErr w:type="spellEnd"/>
      <w:r w:rsidR="00885826">
        <w:t xml:space="preserve"> В.Ф.)</w:t>
      </w:r>
      <w:r w:rsidR="008065F5">
        <w:t>, электромобили (4 шт.</w:t>
      </w:r>
      <w:proofErr w:type="gramStart"/>
      <w:r w:rsidR="008065F5">
        <w:t>)</w:t>
      </w:r>
      <w:r w:rsidR="00885826">
        <w:t>(</w:t>
      </w:r>
      <w:proofErr w:type="gramEnd"/>
      <w:r w:rsidR="00885826">
        <w:t>поставщик ООО «</w:t>
      </w:r>
      <w:proofErr w:type="spellStart"/>
      <w:r w:rsidR="00885826">
        <w:t>Тутси</w:t>
      </w:r>
      <w:proofErr w:type="spellEnd"/>
      <w:r w:rsidR="00885826">
        <w:t>»)</w:t>
      </w:r>
      <w:r w:rsidR="008065F5">
        <w:t>, интерактивный велотренажер "Пилот-1" на основе системы виртуальной</w:t>
      </w:r>
      <w:r w:rsidR="00D42047">
        <w:t xml:space="preserve"> </w:t>
      </w:r>
      <w:r w:rsidR="008065F5">
        <w:t xml:space="preserve">реальности, </w:t>
      </w:r>
      <w:proofErr w:type="gramStart"/>
      <w:r w:rsidR="008065F5">
        <w:t xml:space="preserve">мобильный светофор, шлемы и комплекты безопасной езды "Защита" (наколенники, налокотники), комплекты для практических занятий, </w:t>
      </w:r>
      <w:proofErr w:type="spellStart"/>
      <w:r w:rsidR="008065F5">
        <w:t>световозвращающая</w:t>
      </w:r>
      <w:proofErr w:type="spellEnd"/>
      <w:r w:rsidR="008065F5">
        <w:t xml:space="preserve"> подвеска, </w:t>
      </w:r>
      <w:proofErr w:type="spellStart"/>
      <w:r w:rsidR="008065F5">
        <w:t>световозвращающий</w:t>
      </w:r>
      <w:proofErr w:type="spellEnd"/>
      <w:r w:rsidR="00BA1458">
        <w:t xml:space="preserve"> </w:t>
      </w:r>
      <w:proofErr w:type="spellStart"/>
      <w:r w:rsidR="008065F5">
        <w:t>самофиксирующийся</w:t>
      </w:r>
      <w:proofErr w:type="spellEnd"/>
      <w:r w:rsidR="008065F5">
        <w:t xml:space="preserve"> браслет (ассортимент цветов), комплект </w:t>
      </w:r>
      <w:proofErr w:type="spellStart"/>
      <w:r w:rsidR="008065F5">
        <w:t>световозвращающих</w:t>
      </w:r>
      <w:proofErr w:type="spellEnd"/>
      <w:r w:rsidR="008065F5">
        <w:t xml:space="preserve"> наклеек «Светлячок»</w:t>
      </w:r>
      <w:r w:rsidR="00885826">
        <w:t xml:space="preserve"> (поставщик ООО «З</w:t>
      </w:r>
      <w:r w:rsidR="00BA1458">
        <w:t>ар</w:t>
      </w:r>
      <w:r w:rsidR="00885826">
        <w:t>ница Центр»)</w:t>
      </w:r>
      <w:r w:rsidR="008065F5">
        <w:t>.</w:t>
      </w:r>
      <w:proofErr w:type="gramEnd"/>
    </w:p>
    <w:p w:rsidR="00E3472F" w:rsidRPr="00D42047" w:rsidRDefault="004478A5" w:rsidP="00E3472F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</w:pPr>
      <w:r w:rsidRPr="00D42047">
        <w:t>Количество граждан, принявших трудовое участие в реализации проек</w:t>
      </w:r>
      <w:r w:rsidR="0036298F" w:rsidRPr="00D42047">
        <w:t xml:space="preserve">та </w:t>
      </w:r>
      <w:proofErr w:type="spellStart"/>
      <w:r w:rsidR="0036298F" w:rsidRPr="00D42047">
        <w:t>бюджетирования</w:t>
      </w:r>
      <w:proofErr w:type="spellEnd"/>
      <w:r w:rsidR="00BA1458" w:rsidRPr="00D42047">
        <w:t xml:space="preserve"> - 50 человек</w:t>
      </w:r>
      <w:r w:rsidR="00730239" w:rsidRPr="00D42047">
        <w:t>.</w:t>
      </w:r>
    </w:p>
    <w:p w:rsidR="001F2C18" w:rsidRDefault="00730239" w:rsidP="007E4994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right="-31" w:firstLine="709"/>
        <w:jc w:val="both"/>
      </w:pPr>
      <w:proofErr w:type="gramStart"/>
      <w:r w:rsidRPr="00D42047">
        <w:t>Описание</w:t>
      </w:r>
      <w:r>
        <w:t xml:space="preserve"> </w:t>
      </w:r>
      <w:r w:rsidR="00E3472F">
        <w:t>работ</w:t>
      </w:r>
      <w:r>
        <w:t xml:space="preserve">, </w:t>
      </w:r>
      <w:r w:rsidR="0036298F">
        <w:t xml:space="preserve">выполненных </w:t>
      </w:r>
      <w:r w:rsidR="00E3472F">
        <w:t xml:space="preserve">гражданами в рамках их трудового участия в реализации проекта инициативного </w:t>
      </w:r>
      <w:proofErr w:type="spellStart"/>
      <w:r w:rsidR="00E3472F">
        <w:t>бюджетирования</w:t>
      </w:r>
      <w:proofErr w:type="spellEnd"/>
      <w:r w:rsidR="00E3472F">
        <w:t xml:space="preserve">: </w:t>
      </w:r>
      <w:r w:rsidR="00BA1458">
        <w:t xml:space="preserve">подготовка, транспортировка, установка оборудования и методических материалов при проведении выездных профилактических мероприятий; размещение афиш о проведении мероприятий на городских досках объявлений, информационных стендах в жилых домах, социальных сетях; </w:t>
      </w:r>
      <w:r w:rsidR="006D7450">
        <w:t xml:space="preserve">сборка выставочных стендов; помощь в благоустройстве территорий </w:t>
      </w:r>
      <w:r w:rsidR="009046C4">
        <w:t>для</w:t>
      </w:r>
      <w:r w:rsidR="006D7450">
        <w:t xml:space="preserve"> проведении мероприятий;</w:t>
      </w:r>
      <w:proofErr w:type="gramEnd"/>
      <w:r w:rsidR="006D7450">
        <w:t xml:space="preserve"> разработка макетов афиш, дипломов</w:t>
      </w:r>
      <w:r w:rsidR="0049731B">
        <w:t xml:space="preserve">. </w:t>
      </w:r>
    </w:p>
    <w:p w:rsidR="007E4994" w:rsidRPr="002F27C8" w:rsidRDefault="007A732F" w:rsidP="007E4994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right="-31" w:firstLine="709"/>
        <w:jc w:val="both"/>
      </w:pPr>
      <w:r>
        <w:t>Сведения об осуществленных физическими и (или) юридическими</w:t>
      </w:r>
      <w:r w:rsidR="00EF475C">
        <w:t xml:space="preserve"> лиц</w:t>
      </w:r>
      <w:r>
        <w:t>ами, индивидуальными предпринимателями</w:t>
      </w:r>
      <w:r w:rsidR="006D7450">
        <w:t xml:space="preserve"> </w:t>
      </w:r>
      <w:r>
        <w:t xml:space="preserve">мероприятиях в рамках их участия в нефинансовой форме </w:t>
      </w:r>
      <w:r w:rsidR="00EF475C">
        <w:t>в реализации проекта</w:t>
      </w:r>
      <w:r w:rsidR="006D7450">
        <w:t xml:space="preserve"> </w:t>
      </w:r>
      <w:r w:rsidR="002D714E">
        <w:t xml:space="preserve">инициативного </w:t>
      </w:r>
      <w:proofErr w:type="spellStart"/>
      <w:r w:rsidR="002D714E">
        <w:t>бюджетирования</w:t>
      </w:r>
      <w:proofErr w:type="spellEnd"/>
      <w:r w:rsidR="00EF475C">
        <w:t>:</w:t>
      </w:r>
      <w:r w:rsidR="006D7450">
        <w:t xml:space="preserve"> ПОУ</w:t>
      </w:r>
      <w:r w:rsidR="006D7450" w:rsidRPr="006D7450">
        <w:t xml:space="preserve"> Волгодонская автомобильная школа Регионального отделения Общероссийской обществен</w:t>
      </w:r>
      <w:r w:rsidR="007E4994">
        <w:t>но-государственной организации «</w:t>
      </w:r>
      <w:r w:rsidR="006D7450" w:rsidRPr="006D7450">
        <w:t>Добровольное общество содействи</w:t>
      </w:r>
      <w:r w:rsidR="007E4994">
        <w:t>я армии, авиации и флоту России»</w:t>
      </w:r>
      <w:r w:rsidR="006D7450" w:rsidRPr="006D7450">
        <w:t xml:space="preserve"> Ростовской области</w:t>
      </w:r>
      <w:r w:rsidR="006D7450">
        <w:t xml:space="preserve"> - у</w:t>
      </w:r>
      <w:r w:rsidR="006D7450" w:rsidRPr="006D7450">
        <w:t>частие сотрудника автошколы в качестве эксперта при проведение мероприятий проекта, оказание консультационной и методической поддержки проекта</w:t>
      </w:r>
      <w:r w:rsidR="006D7450">
        <w:t xml:space="preserve">; </w:t>
      </w:r>
      <w:r w:rsidR="006D7450" w:rsidRPr="006D7450">
        <w:t>МБУДО "Станция юных техников" г</w:t>
      </w:r>
      <w:proofErr w:type="gramStart"/>
      <w:r w:rsidR="006D7450" w:rsidRPr="006D7450">
        <w:t>.В</w:t>
      </w:r>
      <w:proofErr w:type="gramEnd"/>
      <w:r w:rsidR="006D7450" w:rsidRPr="006D7450">
        <w:t>олгодонска</w:t>
      </w:r>
      <w:r w:rsidR="006D7450">
        <w:t xml:space="preserve"> - о</w:t>
      </w:r>
      <w:r w:rsidR="006D7450" w:rsidRPr="006D7450">
        <w:t>казание консультационно-</w:t>
      </w:r>
      <w:r w:rsidR="006D7450" w:rsidRPr="006D7450">
        <w:lastRenderedPageBreak/>
        <w:t xml:space="preserve">методической, </w:t>
      </w:r>
      <w:r w:rsidR="006D7450" w:rsidRPr="002F27C8">
        <w:t xml:space="preserve">инфраструктурной (предоставление территории </w:t>
      </w:r>
      <w:proofErr w:type="spellStart"/>
      <w:r w:rsidR="006D7450" w:rsidRPr="002F27C8">
        <w:t>Автогородка</w:t>
      </w:r>
      <w:proofErr w:type="spellEnd"/>
      <w:r w:rsidR="006D7450" w:rsidRPr="002F27C8">
        <w:t>), кадровой поддержки проекта; Ассоциация содействи</w:t>
      </w:r>
      <w:r w:rsidR="007E4994" w:rsidRPr="002F27C8">
        <w:t>я развитию образования «Карьера» - оказание информационной и методической поддержки, в т.ч</w:t>
      </w:r>
      <w:proofErr w:type="gramStart"/>
      <w:r w:rsidR="007E4994" w:rsidRPr="002F27C8">
        <w:t>.с</w:t>
      </w:r>
      <w:proofErr w:type="gramEnd"/>
      <w:r w:rsidR="007E4994" w:rsidRPr="002F27C8">
        <w:t>оставление вопросов для проведения городской интеллектуальной игры «</w:t>
      </w:r>
      <w:proofErr w:type="spellStart"/>
      <w:r w:rsidR="007E4994" w:rsidRPr="002F27C8">
        <w:t>Брейн</w:t>
      </w:r>
      <w:proofErr w:type="spellEnd"/>
      <w:r w:rsidR="007E4994" w:rsidRPr="002F27C8">
        <w:t xml:space="preserve"> Ринг» «Знатоки ПДД» (</w:t>
      </w:r>
      <w:proofErr w:type="spellStart"/>
      <w:r w:rsidR="007E4994" w:rsidRPr="002F27C8">
        <w:t>онлайн</w:t>
      </w:r>
      <w:proofErr w:type="spellEnd"/>
      <w:r w:rsidR="007E4994" w:rsidRPr="002F27C8">
        <w:t xml:space="preserve"> формат); ООО «</w:t>
      </w:r>
      <w:proofErr w:type="spellStart"/>
      <w:r w:rsidR="007E4994" w:rsidRPr="002F27C8">
        <w:t>Элсиком</w:t>
      </w:r>
      <w:proofErr w:type="spellEnd"/>
      <w:r w:rsidR="007E4994" w:rsidRPr="002F27C8">
        <w:t xml:space="preserve">» - трудовое участие (помощь в доставке и погрузке, разгрузке оборудования); отдел ГИБДД МУ МВД России «Волгодонское» - участие </w:t>
      </w:r>
      <w:proofErr w:type="gramStart"/>
      <w:r w:rsidR="007E4994" w:rsidRPr="002F27C8">
        <w:t>инспектора отдела пропаганды безопасности дорожного движения</w:t>
      </w:r>
      <w:proofErr w:type="gramEnd"/>
      <w:r w:rsidR="007E4994" w:rsidRPr="002F27C8">
        <w:t xml:space="preserve"> в городской профилактическая акция «Час безопасности»: акция «Ответственный пешеход!», акция «Пешеход, засветись!». </w:t>
      </w:r>
    </w:p>
    <w:p w:rsidR="00EF475C" w:rsidRPr="002F27C8" w:rsidRDefault="003C4085" w:rsidP="007E4994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right="-31" w:firstLine="709"/>
        <w:jc w:val="both"/>
      </w:pPr>
      <w:r w:rsidRPr="002F27C8">
        <w:t>Сведения о поступлении и расходовании средств областного бюджета, местного бюджета, средств ф</w:t>
      </w:r>
      <w:r w:rsidR="00623A47" w:rsidRPr="002F27C8">
        <w:t xml:space="preserve">изических </w:t>
      </w:r>
      <w:r w:rsidRPr="002F27C8">
        <w:t>и (или) юридических лиц, индивидуальных предпринимателей:</w:t>
      </w:r>
    </w:p>
    <w:p w:rsidR="000E5533" w:rsidRDefault="000E5533" w:rsidP="000E5533">
      <w:pPr>
        <w:autoSpaceDE w:val="0"/>
        <w:autoSpaceDN w:val="0"/>
        <w:adjustRightInd w:val="0"/>
        <w:jc w:val="both"/>
      </w:pPr>
    </w:p>
    <w:tbl>
      <w:tblPr>
        <w:tblStyle w:val="a4"/>
        <w:tblW w:w="14884" w:type="dxa"/>
        <w:tblInd w:w="250" w:type="dxa"/>
        <w:tblLayout w:type="fixed"/>
        <w:tblLook w:val="04A0"/>
      </w:tblPr>
      <w:tblGrid>
        <w:gridCol w:w="2126"/>
        <w:gridCol w:w="2242"/>
        <w:gridCol w:w="1995"/>
        <w:gridCol w:w="1888"/>
        <w:gridCol w:w="2589"/>
        <w:gridCol w:w="2103"/>
        <w:gridCol w:w="1941"/>
      </w:tblGrid>
      <w:tr w:rsidR="00EF475C" w:rsidTr="000E553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5C" w:rsidRDefault="00EF475C" w:rsidP="008065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Запланированный объем средств, необходимых для реализации проекта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5C" w:rsidRDefault="00EF475C" w:rsidP="008065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областного бюджета, направленных на реализацию проекта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5C" w:rsidRDefault="00EF475C" w:rsidP="008065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собственных средств местного бюджета, направленных на реализацию проекта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5C" w:rsidRDefault="00EF475C" w:rsidP="008065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физических лиц, поступивших в местный бюджет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5C" w:rsidRDefault="00EF475C" w:rsidP="008065F5">
            <w:pPr>
              <w:pStyle w:val="a3"/>
              <w:ind w:left="0"/>
              <w:jc w:val="center"/>
            </w:pPr>
            <w:r>
              <w:rPr>
                <w:sz w:val="24"/>
                <w:szCs w:val="24"/>
              </w:rPr>
              <w:t>Объем средств юридических лиц, индивидуальных предпринимателей, поступивших в местный бюджет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5C" w:rsidRDefault="00EF475C" w:rsidP="00806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стоимость проекта после осуществления закупки товаров, работ и услуг</w:t>
            </w:r>
          </w:p>
          <w:p w:rsidR="00EF475C" w:rsidRDefault="00EF475C" w:rsidP="008065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5C" w:rsidRDefault="00EF475C" w:rsidP="008065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Причины отклонения                 от </w:t>
            </w:r>
            <w:proofErr w:type="spellStart"/>
            <w:proofErr w:type="gramStart"/>
            <w:r>
              <w:rPr>
                <w:sz w:val="24"/>
                <w:szCs w:val="24"/>
              </w:rPr>
              <w:t>запланирован-ной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стоимости проекта</w:t>
            </w:r>
          </w:p>
        </w:tc>
      </w:tr>
      <w:tr w:rsidR="006F649A" w:rsidTr="008065F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9A" w:rsidRPr="006F649A" w:rsidRDefault="006F649A">
            <w:pPr>
              <w:pStyle w:val="a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6F649A">
              <w:rPr>
                <w:sz w:val="24"/>
                <w:szCs w:val="24"/>
              </w:rPr>
              <w:t>2 384,0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9A" w:rsidRPr="006F649A" w:rsidRDefault="006F649A">
            <w:pPr>
              <w:pStyle w:val="a3"/>
              <w:ind w:left="0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6F649A">
              <w:rPr>
                <w:sz w:val="24"/>
                <w:szCs w:val="24"/>
              </w:rPr>
              <w:t>1 699,8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9A" w:rsidRPr="006F649A" w:rsidRDefault="006F649A">
            <w:pPr>
              <w:pStyle w:val="a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205,2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9A" w:rsidRPr="006F649A" w:rsidRDefault="006F649A" w:rsidP="008065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9A" w:rsidRPr="006F649A" w:rsidRDefault="006F649A" w:rsidP="008065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9A" w:rsidRPr="006F649A" w:rsidRDefault="006F649A" w:rsidP="008065F5">
            <w:pPr>
              <w:pStyle w:val="a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6F649A">
              <w:rPr>
                <w:sz w:val="24"/>
                <w:szCs w:val="24"/>
              </w:rPr>
              <w:t>2 384,0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9A" w:rsidRPr="006F649A" w:rsidRDefault="006F649A" w:rsidP="008065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F649A">
              <w:rPr>
                <w:sz w:val="24"/>
                <w:szCs w:val="24"/>
              </w:rPr>
              <w:t>-</w:t>
            </w:r>
          </w:p>
        </w:tc>
      </w:tr>
    </w:tbl>
    <w:p w:rsidR="000E5533" w:rsidRDefault="000E5533" w:rsidP="000E5533">
      <w:pPr>
        <w:pStyle w:val="a3"/>
        <w:autoSpaceDE w:val="0"/>
        <w:autoSpaceDN w:val="0"/>
        <w:adjustRightInd w:val="0"/>
        <w:ind w:left="1068"/>
        <w:jc w:val="both"/>
      </w:pPr>
    </w:p>
    <w:p w:rsidR="00B06E6D" w:rsidRDefault="0036298F" w:rsidP="00B06E6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Иная информация о реализации проек</w:t>
      </w:r>
      <w:r w:rsidR="007938EE">
        <w:t xml:space="preserve">та инициативного </w:t>
      </w:r>
      <w:proofErr w:type="spellStart"/>
      <w:r w:rsidR="007E4994">
        <w:t>бюджетирования</w:t>
      </w:r>
      <w:proofErr w:type="spellEnd"/>
      <w:r w:rsidR="007E4994">
        <w:t>:</w:t>
      </w:r>
    </w:p>
    <w:p w:rsidR="00B06E6D" w:rsidRPr="00B06E6D" w:rsidRDefault="00B06E6D" w:rsidP="00B06E6D">
      <w:pPr>
        <w:pStyle w:val="a3"/>
        <w:autoSpaceDE w:val="0"/>
        <w:autoSpaceDN w:val="0"/>
        <w:adjustRightInd w:val="0"/>
        <w:ind w:left="1068"/>
        <w:jc w:val="both"/>
      </w:pPr>
      <w:r w:rsidRPr="00B06E6D">
        <w:t xml:space="preserve">Проект </w:t>
      </w:r>
      <w:r w:rsidR="009046C4">
        <w:t>«</w:t>
      </w:r>
      <w:r w:rsidRPr="00B06E6D">
        <w:t xml:space="preserve">Мобильная «Детско-юношеская автошкола «Академия дорожной безопасности» на базе </w:t>
      </w:r>
      <w:proofErr w:type="spellStart"/>
      <w:r w:rsidRPr="00B06E6D">
        <w:t>Автогородка</w:t>
      </w:r>
      <w:proofErr w:type="spellEnd"/>
      <w:r w:rsidRPr="00B06E6D">
        <w:t xml:space="preserve"> Учебно-тренировочного комплекса»  - это цикл акций, соревнований, образовательных активностей - мероприятий профилактической направленности, прежде всего выездных - в микрорайоны города, в летние приходящие лагеря на базе школ,  а также большой блок теоретических и практических занятий на базе </w:t>
      </w:r>
      <w:proofErr w:type="spellStart"/>
      <w:r w:rsidRPr="00B06E6D">
        <w:t>Автогородка</w:t>
      </w:r>
      <w:proofErr w:type="spellEnd"/>
      <w:r w:rsidRPr="00B06E6D">
        <w:t xml:space="preserve"> в учебно-тренировочном комплексе </w:t>
      </w:r>
      <w:r w:rsidR="009046C4" w:rsidRPr="009046C4">
        <w:t xml:space="preserve">МБУДО </w:t>
      </w:r>
      <w:r w:rsidR="00A25CF5">
        <w:t>«</w:t>
      </w:r>
      <w:r w:rsidR="009046C4" w:rsidRPr="009046C4">
        <w:t>Станция юных техников</w:t>
      </w:r>
      <w:r w:rsidR="00A25CF5">
        <w:t>»</w:t>
      </w:r>
      <w:r w:rsidR="009046C4" w:rsidRPr="009046C4">
        <w:t xml:space="preserve"> г</w:t>
      </w:r>
      <w:proofErr w:type="gramStart"/>
      <w:r w:rsidR="009046C4" w:rsidRPr="009046C4">
        <w:t>.В</w:t>
      </w:r>
      <w:proofErr w:type="gramEnd"/>
      <w:r w:rsidR="009046C4" w:rsidRPr="009046C4">
        <w:t>олгодонска</w:t>
      </w:r>
      <w:r w:rsidRPr="00B06E6D">
        <w:t xml:space="preserve">. </w:t>
      </w:r>
    </w:p>
    <w:p w:rsidR="00B06E6D" w:rsidRPr="00B06E6D" w:rsidRDefault="00B06E6D" w:rsidP="00B06E6D">
      <w:pPr>
        <w:pStyle w:val="a3"/>
        <w:ind w:left="1068"/>
        <w:jc w:val="both"/>
      </w:pPr>
      <w:r w:rsidRPr="00B06E6D">
        <w:t>Официальный старт проекту был дан 7 июля - в МБОУ СШ №8 г</w:t>
      </w:r>
      <w:proofErr w:type="gramStart"/>
      <w:r w:rsidRPr="00B06E6D">
        <w:t>.В</w:t>
      </w:r>
      <w:proofErr w:type="gramEnd"/>
      <w:r w:rsidRPr="00B06E6D">
        <w:t xml:space="preserve">олгодонска состоялось первое выездное профилактическое мероприятие </w:t>
      </w:r>
      <w:r w:rsidR="009046C4" w:rsidRPr="00B06E6D">
        <w:t>«Знатоки ПДД»</w:t>
      </w:r>
      <w:r w:rsidR="009046C4">
        <w:t xml:space="preserve"> для воспитанников</w:t>
      </w:r>
      <w:r w:rsidRPr="00B06E6D">
        <w:t xml:space="preserve"> с дневным пребыванием детей, состоящее из двух этапов: </w:t>
      </w:r>
      <w:proofErr w:type="spellStart"/>
      <w:r w:rsidRPr="00B06E6D">
        <w:t>квест-игры</w:t>
      </w:r>
      <w:proofErr w:type="spellEnd"/>
      <w:r w:rsidRPr="00B06E6D">
        <w:t xml:space="preserve"> «Знатоки ПДД» (теоретический этап) и «Юный водитель» (практический этап).</w:t>
      </w:r>
    </w:p>
    <w:p w:rsidR="00B06E6D" w:rsidRPr="00B06E6D" w:rsidRDefault="009046C4" w:rsidP="00B06E6D">
      <w:pPr>
        <w:pStyle w:val="a3"/>
        <w:ind w:left="1068"/>
        <w:jc w:val="both"/>
      </w:pPr>
      <w:r>
        <w:t>В</w:t>
      </w:r>
      <w:r w:rsidR="00B06E6D" w:rsidRPr="00B06E6D">
        <w:t xml:space="preserve"> программных мероприятиях проекта дети участвуют малыми группами: для каждого отряда (</w:t>
      </w:r>
      <w:r>
        <w:t>группы</w:t>
      </w:r>
      <w:r w:rsidR="00B06E6D" w:rsidRPr="00B06E6D">
        <w:t>) проводится отдельная программа, что связано с мерами безопасности в условиях сохранения рисков распространения новой коронавирусной инфекции (COVID-19).</w:t>
      </w:r>
    </w:p>
    <w:p w:rsidR="00B06E6D" w:rsidRPr="00B06E6D" w:rsidRDefault="00B06E6D" w:rsidP="00B06E6D">
      <w:pPr>
        <w:pStyle w:val="a3"/>
        <w:ind w:left="1068"/>
        <w:jc w:val="both"/>
      </w:pPr>
      <w:r w:rsidRPr="00B06E6D">
        <w:t>Всего за период с 7 июля по 13 августа 2020 года профилактические выездные мероприятия были проведены на базе приходящих лагерей в 10 образовательных учреждениях: МБОУ СШ №8 «Классическая» г</w:t>
      </w:r>
      <w:proofErr w:type="gramStart"/>
      <w:r w:rsidRPr="00B06E6D">
        <w:t>.В</w:t>
      </w:r>
      <w:proofErr w:type="gramEnd"/>
      <w:r w:rsidRPr="00B06E6D">
        <w:t xml:space="preserve">олгодонска, МБОУ «Гимназия «Шанс» г.Волгодонска, МБОУ «Гимназия «Юридическая» г.Волгодонска, МБОУ «Гимназия </w:t>
      </w:r>
      <w:r w:rsidRPr="00B06E6D">
        <w:lastRenderedPageBreak/>
        <w:t>№1 «Юнона» г.Волгодонска, МБОУ СШ №18 г.Волгодонска, МБОУ СШ №13 г.Волгодонска, МБОУ СШ «Лицей «</w:t>
      </w:r>
      <w:proofErr w:type="spellStart"/>
      <w:r w:rsidRPr="00B06E6D">
        <w:t>Политэк</w:t>
      </w:r>
      <w:proofErr w:type="spellEnd"/>
      <w:r w:rsidRPr="00B06E6D">
        <w:t xml:space="preserve">» г.Волгодонска, МБОУ СШ №5 г.Волгодонска, МБОУ СШ №11 г.Волгодонска, МБОУ СШ №21 г.Волгодонска. Общий охват детей составил 1230 человек. </w:t>
      </w:r>
    </w:p>
    <w:p w:rsidR="00B06E6D" w:rsidRPr="00B06E6D" w:rsidRDefault="00B06E6D" w:rsidP="00B06E6D">
      <w:pPr>
        <w:pStyle w:val="a3"/>
        <w:ind w:left="1068"/>
        <w:jc w:val="both"/>
      </w:pPr>
      <w:r w:rsidRPr="00B06E6D">
        <w:t xml:space="preserve">В июне 2020 года решением Экспертного совета Управления образования города Волгодонска в целях поддержки и стимулирования общественно-значимой инновационной образовательной деятельности проекту «Мобильная «Детско-юношеская автошкола Академия дорожной безопасности» присвоен статус городской инновационной площадки (Приказ Управления образования </w:t>
      </w:r>
      <w:proofErr w:type="gramStart"/>
      <w:r w:rsidRPr="00B06E6D">
        <w:t>г</w:t>
      </w:r>
      <w:proofErr w:type="gramEnd"/>
      <w:r w:rsidRPr="00B06E6D">
        <w:t>. Волгодонска от 30.06.2020 №252 «Об организации инновационной деятельности»).</w:t>
      </w:r>
    </w:p>
    <w:p w:rsidR="00B06E6D" w:rsidRPr="00B06E6D" w:rsidRDefault="00B06E6D" w:rsidP="00B06E6D">
      <w:pPr>
        <w:pStyle w:val="a3"/>
        <w:ind w:left="1068"/>
        <w:jc w:val="both"/>
      </w:pPr>
      <w:r w:rsidRPr="00B06E6D">
        <w:t xml:space="preserve">В течение трех лет, 2021-2023 гг., профилактические обучающие и практические занятия, акции, конкурсы, соревнования будут проходить в приходящих лагерях на базе школ Волгодонска, в микрорайонах города, в Учебно-тренировочном комплексе </w:t>
      </w:r>
      <w:r w:rsidR="00A25CF5" w:rsidRPr="009046C4">
        <w:t xml:space="preserve">МБУДО </w:t>
      </w:r>
      <w:r w:rsidR="00A25CF5">
        <w:t>«</w:t>
      </w:r>
      <w:r w:rsidR="00A25CF5" w:rsidRPr="009046C4">
        <w:t>Станция юных техников</w:t>
      </w:r>
      <w:r w:rsidR="00A25CF5">
        <w:t>»</w:t>
      </w:r>
      <w:r w:rsidR="00A25CF5" w:rsidRPr="009046C4">
        <w:t xml:space="preserve"> г</w:t>
      </w:r>
      <w:proofErr w:type="gramStart"/>
      <w:r w:rsidR="00A25CF5" w:rsidRPr="009046C4">
        <w:t>.В</w:t>
      </w:r>
      <w:proofErr w:type="gramEnd"/>
      <w:r w:rsidR="00A25CF5" w:rsidRPr="009046C4">
        <w:t>олгодонска</w:t>
      </w:r>
      <w:r w:rsidRPr="00B06E6D">
        <w:t>.</w:t>
      </w:r>
    </w:p>
    <w:p w:rsidR="00B06E6D" w:rsidRPr="00B06E6D" w:rsidRDefault="00B06E6D" w:rsidP="00B06E6D">
      <w:pPr>
        <w:pStyle w:val="a3"/>
        <w:ind w:left="1068"/>
        <w:jc w:val="both"/>
      </w:pPr>
      <w:proofErr w:type="gramStart"/>
      <w:r w:rsidRPr="00B06E6D">
        <w:t>6 сентября, в рамках Дня открытых дверей, приуроченного ко Дню Знаний, в Учебно-тренировочном комплексе состоялся спортивно-технический праздник, в рамках которого были организованы показательные выступления (соревнования) спортсменов секции «Картинг» и учащихся объединения «</w:t>
      </w:r>
      <w:proofErr w:type="spellStart"/>
      <w:r w:rsidRPr="00B06E6D">
        <w:t>Автомоделирование</w:t>
      </w:r>
      <w:proofErr w:type="spellEnd"/>
      <w:r w:rsidRPr="00B06E6D">
        <w:t xml:space="preserve">», ас также состоялась </w:t>
      </w:r>
      <w:proofErr w:type="spellStart"/>
      <w:r w:rsidRPr="00B06E6D">
        <w:t>квест-игра</w:t>
      </w:r>
      <w:proofErr w:type="spellEnd"/>
      <w:r w:rsidRPr="00B06E6D">
        <w:t xml:space="preserve"> «Знатоки ПДД»: ребята в игровой форме разбирали разнообразные дорожные ситуации, прокатились по трассе </w:t>
      </w:r>
      <w:proofErr w:type="spellStart"/>
      <w:r w:rsidRPr="00B06E6D">
        <w:t>Автогородка</w:t>
      </w:r>
      <w:proofErr w:type="spellEnd"/>
      <w:r w:rsidRPr="00B06E6D">
        <w:t xml:space="preserve"> на самокате, велосипеде, электромобиле (в соответствии в возрастом ребенка), а</w:t>
      </w:r>
      <w:proofErr w:type="gramEnd"/>
      <w:r w:rsidRPr="00B06E6D">
        <w:t xml:space="preserve"> также совершили интерактивный заезд на специальном велотренажере «Пилот-1» (работает на основе системы виртуальной реальности). Всего в мероприятии приняли участие – 327 человек. </w:t>
      </w:r>
    </w:p>
    <w:p w:rsidR="00B06E6D" w:rsidRPr="00B06E6D" w:rsidRDefault="00B06E6D" w:rsidP="00B06E6D">
      <w:pPr>
        <w:pStyle w:val="a3"/>
        <w:ind w:left="1068"/>
        <w:jc w:val="both"/>
      </w:pPr>
      <w:r w:rsidRPr="00B06E6D">
        <w:t xml:space="preserve">20, 22, 23 и 27 сентября 2020 года </w:t>
      </w:r>
      <w:r w:rsidR="00A25CF5">
        <w:t>на базе</w:t>
      </w:r>
      <w:r w:rsidRPr="00B06E6D">
        <w:t xml:space="preserve"> Учебно-тренировочно</w:t>
      </w:r>
      <w:r w:rsidR="00A25CF5">
        <w:t>го комплекса</w:t>
      </w:r>
      <w:r w:rsidRPr="00B06E6D">
        <w:t xml:space="preserve"> </w:t>
      </w:r>
      <w:r w:rsidR="00A25CF5" w:rsidRPr="009046C4">
        <w:t xml:space="preserve">МБУДО </w:t>
      </w:r>
      <w:r w:rsidR="00A25CF5">
        <w:t>«</w:t>
      </w:r>
      <w:r w:rsidR="00A25CF5" w:rsidRPr="009046C4">
        <w:t>Станция юных техников</w:t>
      </w:r>
      <w:r w:rsidR="00A25CF5">
        <w:t>»</w:t>
      </w:r>
      <w:r w:rsidR="00A25CF5" w:rsidRPr="009046C4">
        <w:t xml:space="preserve"> г</w:t>
      </w:r>
      <w:proofErr w:type="gramStart"/>
      <w:r w:rsidR="00A25CF5" w:rsidRPr="009046C4">
        <w:t>.В</w:t>
      </w:r>
      <w:proofErr w:type="gramEnd"/>
      <w:r w:rsidR="00A25CF5" w:rsidRPr="009046C4">
        <w:t>олгодонска</w:t>
      </w:r>
      <w:r w:rsidR="00A25CF5" w:rsidRPr="00B06E6D">
        <w:t xml:space="preserve"> </w:t>
      </w:r>
      <w:r w:rsidRPr="00B06E6D">
        <w:t xml:space="preserve">состоялись </w:t>
      </w:r>
      <w:proofErr w:type="spellStart"/>
      <w:r w:rsidRPr="00B06E6D">
        <w:t>игра-квест</w:t>
      </w:r>
      <w:proofErr w:type="spellEnd"/>
      <w:r w:rsidRPr="00B06E6D">
        <w:t xml:space="preserve"> «Знатоки ПДД»: на теоретическом этапе ребята проверили свои знания правил дорожного движения на станциях «Собери дорожный знак», «Город дорог», «Устройство автомобиля», «Дорожная азбука»; практический этап состоялся  в </w:t>
      </w:r>
      <w:proofErr w:type="spellStart"/>
      <w:r w:rsidRPr="00B06E6D">
        <w:t>Автогородке</w:t>
      </w:r>
      <w:proofErr w:type="spellEnd"/>
      <w:r w:rsidRPr="00B06E6D">
        <w:t>, здесь участники игры продемонстрировали навыки управления транспортным средством (самокат, электромобиль, велосипед – в зависимости от возрастной категории), соблюдая требования ПДД: дорожной разметки, светофоров, при этом проходя ряд искусственных препятствий: кривая дорожка, слалом, перенос предмета, прицельное торможение и других.</w:t>
      </w:r>
    </w:p>
    <w:p w:rsidR="00B06E6D" w:rsidRPr="00B06E6D" w:rsidRDefault="00B06E6D" w:rsidP="00A25CF5">
      <w:pPr>
        <w:pStyle w:val="aa"/>
        <w:shd w:val="clear" w:color="auto" w:fill="FFFFFF"/>
        <w:spacing w:before="0" w:beforeAutospacing="0" w:after="0" w:afterAutospacing="0"/>
        <w:ind w:left="1068"/>
        <w:jc w:val="both"/>
        <w:rPr>
          <w:rFonts w:eastAsiaTheme="minorHAnsi"/>
          <w:sz w:val="28"/>
          <w:szCs w:val="28"/>
          <w:lang w:eastAsia="en-US"/>
        </w:rPr>
      </w:pPr>
      <w:r w:rsidRPr="00B06E6D">
        <w:rPr>
          <w:rFonts w:eastAsiaTheme="minorHAnsi"/>
          <w:sz w:val="28"/>
          <w:szCs w:val="28"/>
          <w:lang w:eastAsia="en-US"/>
        </w:rPr>
        <w:t xml:space="preserve">Еще один элемент практического этапа – имитация вождения велосипеда по городской трассе или в </w:t>
      </w:r>
      <w:proofErr w:type="spellStart"/>
      <w:r w:rsidRPr="00B06E6D">
        <w:rPr>
          <w:rFonts w:eastAsiaTheme="minorHAnsi"/>
          <w:sz w:val="28"/>
          <w:szCs w:val="28"/>
          <w:lang w:eastAsia="en-US"/>
        </w:rPr>
        <w:t>автогородке</w:t>
      </w:r>
      <w:proofErr w:type="spellEnd"/>
      <w:r w:rsidRPr="00B06E6D">
        <w:rPr>
          <w:rFonts w:eastAsiaTheme="minorHAnsi"/>
          <w:sz w:val="28"/>
          <w:szCs w:val="28"/>
          <w:lang w:eastAsia="en-US"/>
        </w:rPr>
        <w:t>, он выполнялся на велотренажере «Пилот-1», который работает на основе систем виртуальной реальности.</w:t>
      </w:r>
    </w:p>
    <w:p w:rsidR="00B06E6D" w:rsidRPr="00B06E6D" w:rsidRDefault="00B06E6D" w:rsidP="00A25CF5">
      <w:pPr>
        <w:pStyle w:val="aa"/>
        <w:shd w:val="clear" w:color="auto" w:fill="FFFFFF"/>
        <w:spacing w:before="0" w:beforeAutospacing="0" w:after="0" w:afterAutospacing="0"/>
        <w:ind w:left="1068"/>
        <w:jc w:val="both"/>
        <w:rPr>
          <w:rFonts w:eastAsiaTheme="minorHAnsi"/>
          <w:sz w:val="28"/>
          <w:szCs w:val="28"/>
          <w:lang w:eastAsia="en-US"/>
        </w:rPr>
      </w:pPr>
      <w:r w:rsidRPr="00B06E6D">
        <w:rPr>
          <w:rFonts w:eastAsiaTheme="minorHAnsi"/>
          <w:sz w:val="28"/>
          <w:szCs w:val="28"/>
          <w:lang w:eastAsia="en-US"/>
        </w:rPr>
        <w:t xml:space="preserve">Также 20 сентября были организованы показательные выступления учащихся секции «Картинг», а 27 сентября состоялись городские соревнования по картингу на приз «Золотая осень». </w:t>
      </w:r>
    </w:p>
    <w:p w:rsidR="00B06E6D" w:rsidRPr="00A25CF5" w:rsidRDefault="00B06E6D" w:rsidP="00A25CF5">
      <w:pPr>
        <w:pStyle w:val="aa"/>
        <w:shd w:val="clear" w:color="auto" w:fill="FFFFFF"/>
        <w:spacing w:before="0" w:beforeAutospacing="0" w:after="120" w:afterAutospacing="0"/>
        <w:ind w:left="1068"/>
        <w:jc w:val="both"/>
        <w:rPr>
          <w:rFonts w:eastAsiaTheme="minorHAnsi"/>
          <w:sz w:val="28"/>
          <w:szCs w:val="28"/>
          <w:lang w:eastAsia="en-US"/>
        </w:rPr>
      </w:pPr>
      <w:r w:rsidRPr="00A25CF5">
        <w:rPr>
          <w:rFonts w:eastAsiaTheme="minorHAnsi"/>
          <w:sz w:val="28"/>
          <w:szCs w:val="28"/>
          <w:lang w:eastAsia="en-US"/>
        </w:rPr>
        <w:t xml:space="preserve">Всего, за 4 дня, в мероприятиях приняли участие 332 человека. </w:t>
      </w:r>
    </w:p>
    <w:p w:rsidR="00B06E6D" w:rsidRPr="00B06E6D" w:rsidRDefault="00B06E6D" w:rsidP="00B06E6D">
      <w:pPr>
        <w:pStyle w:val="a3"/>
        <w:ind w:left="1068"/>
        <w:jc w:val="both"/>
      </w:pPr>
      <w:r w:rsidRPr="00B06E6D">
        <w:lastRenderedPageBreak/>
        <w:t xml:space="preserve">21-22  сентября 2020 года на регулируемых пешеходных переходах в районе кинотеатра «Комсомолец» и напротив жилого дома, расположенного по адресу </w:t>
      </w:r>
      <w:proofErr w:type="spellStart"/>
      <w:r w:rsidRPr="00B06E6D">
        <w:t>пр-кт</w:t>
      </w:r>
      <w:proofErr w:type="spellEnd"/>
      <w:r w:rsidRPr="00B06E6D">
        <w:t xml:space="preserve"> Строителей, 2 состоялась городская профилактическая акция «Час безопасности», которая проходила в два этапа:</w:t>
      </w:r>
    </w:p>
    <w:p w:rsidR="00B06E6D" w:rsidRDefault="00B06E6D" w:rsidP="00B06E6D">
      <w:pPr>
        <w:pStyle w:val="a3"/>
        <w:ind w:left="1068"/>
        <w:jc w:val="both"/>
      </w:pPr>
      <w:r>
        <w:t>-</w:t>
      </w:r>
      <w:r w:rsidRPr="00B06E6D">
        <w:t xml:space="preserve">акция «Пешеход, засветись!» - профилактические беседы со школьниками провела инспектор по безопасности дорожного движения городского отдела ГИБДД, также детям-пешеходам вручены </w:t>
      </w:r>
      <w:proofErr w:type="spellStart"/>
      <w:r w:rsidRPr="00B06E6D">
        <w:t>фликеры</w:t>
      </w:r>
      <w:proofErr w:type="spellEnd"/>
      <w:r w:rsidRPr="00B06E6D">
        <w:t xml:space="preserve"> и брасл</w:t>
      </w:r>
      <w:r w:rsidR="00A25CF5">
        <w:t>еты, которые</w:t>
      </w:r>
      <w:r w:rsidRPr="00B06E6D">
        <w:t xml:space="preserve"> свет</w:t>
      </w:r>
      <w:r w:rsidR="00A25CF5">
        <w:t>я</w:t>
      </w:r>
      <w:r w:rsidRPr="00B06E6D">
        <w:t>тся в темноте</w:t>
      </w:r>
      <w:r w:rsidR="00A25CF5">
        <w:t>;</w:t>
      </w:r>
    </w:p>
    <w:p w:rsidR="00B06E6D" w:rsidRPr="00B06E6D" w:rsidRDefault="00B06E6D" w:rsidP="00B06E6D">
      <w:pPr>
        <w:pStyle w:val="a3"/>
        <w:ind w:left="1068"/>
        <w:jc w:val="both"/>
      </w:pPr>
      <w:r>
        <w:t>-</w:t>
      </w:r>
      <w:r w:rsidRPr="00B06E6D">
        <w:t>акция «Ответственный пешеход!» - со школьниками проведены индивидуальные беседы, им вруч</w:t>
      </w:r>
      <w:r w:rsidR="00A25CF5">
        <w:t>ены</w:t>
      </w:r>
      <w:r w:rsidRPr="00B06E6D">
        <w:t xml:space="preserve"> памятка «Ответственный пешеход», тематические магниты и закладки для учебников.</w:t>
      </w:r>
    </w:p>
    <w:p w:rsidR="00B06E6D" w:rsidRPr="00B06E6D" w:rsidRDefault="00B06E6D" w:rsidP="00B06E6D">
      <w:pPr>
        <w:pStyle w:val="a3"/>
        <w:ind w:left="1068"/>
        <w:jc w:val="both"/>
      </w:pPr>
      <w:r w:rsidRPr="00B06E6D">
        <w:t>Всего мероп</w:t>
      </w:r>
      <w:r w:rsidR="00A25CF5">
        <w:t xml:space="preserve">риятием было охвачено 297 детей и </w:t>
      </w:r>
      <w:r w:rsidRPr="00B06E6D">
        <w:t>родител</w:t>
      </w:r>
      <w:r w:rsidR="00A25CF5">
        <w:t>ей</w:t>
      </w:r>
      <w:r w:rsidRPr="00B06E6D">
        <w:t xml:space="preserve">. </w:t>
      </w:r>
    </w:p>
    <w:p w:rsidR="00B06E6D" w:rsidRPr="00B06E6D" w:rsidRDefault="00B06E6D" w:rsidP="00B06E6D">
      <w:pPr>
        <w:pStyle w:val="a3"/>
        <w:ind w:left="1068"/>
        <w:jc w:val="both"/>
      </w:pPr>
      <w:r w:rsidRPr="00B06E6D">
        <w:t xml:space="preserve">25 сентября 2020 года было проведено выездное профилактическое мероприятие в МБОУ ДС «Тополек». Для воспитанников детского сада работниками учреждения была проведена тематическая </w:t>
      </w:r>
      <w:proofErr w:type="spellStart"/>
      <w:r w:rsidRPr="00B06E6D">
        <w:t>квест-игра</w:t>
      </w:r>
      <w:proofErr w:type="spellEnd"/>
      <w:r w:rsidRPr="00B06E6D">
        <w:t xml:space="preserve"> «Знатоки ПДД»: </w:t>
      </w:r>
      <w:proofErr w:type="gramStart"/>
      <w:r w:rsidRPr="00B06E6D">
        <w:t>теоретический</w:t>
      </w:r>
      <w:proofErr w:type="gramEnd"/>
      <w:r w:rsidRPr="00B06E6D">
        <w:t xml:space="preserve"> и практические этапы. В мероприятии, состоявшимся на открытом воздухе, приняли участие 90 воспитанников детского сада:  6 групп по 15 человек.</w:t>
      </w:r>
    </w:p>
    <w:p w:rsidR="00B06E6D" w:rsidRPr="00B06E6D" w:rsidRDefault="00B06E6D" w:rsidP="00B06E6D">
      <w:pPr>
        <w:pStyle w:val="a3"/>
        <w:ind w:left="1068"/>
        <w:jc w:val="both"/>
      </w:pPr>
      <w:r w:rsidRPr="00B06E6D">
        <w:t xml:space="preserve">Таким образом, всего за период реализации проекта, профилактическими и обучающими мероприятиями было охвачено 2276 человек. </w:t>
      </w:r>
    </w:p>
    <w:p w:rsidR="00B06E6D" w:rsidRPr="00B06E6D" w:rsidRDefault="00B06E6D" w:rsidP="00B06E6D">
      <w:pPr>
        <w:pStyle w:val="a3"/>
        <w:ind w:left="1068"/>
        <w:jc w:val="both"/>
      </w:pPr>
      <w:r w:rsidRPr="00B06E6D">
        <w:t>Информационное освещение реализации проекта осуществлялось на страничке проекта на официальном сайте МБУДО «Станция юных техников» г</w:t>
      </w:r>
      <w:proofErr w:type="gramStart"/>
      <w:r w:rsidRPr="00B06E6D">
        <w:t>.В</w:t>
      </w:r>
      <w:proofErr w:type="gramEnd"/>
      <w:r w:rsidRPr="00B06E6D">
        <w:t>олгодонска (</w:t>
      </w:r>
      <w:hyperlink r:id="rId7" w:history="1">
        <w:r w:rsidRPr="00B06E6D">
          <w:rPr>
            <w:rStyle w:val="a9"/>
          </w:rPr>
          <w:t>http://www.sutvdonsk.ru/road_safetyac_ademy.html</w:t>
        </w:r>
      </w:hyperlink>
      <w:r w:rsidRPr="00B06E6D">
        <w:t xml:space="preserve"> ), в группе проекта в социальной сети «</w:t>
      </w:r>
      <w:proofErr w:type="spellStart"/>
      <w:r w:rsidRPr="00B06E6D">
        <w:t>ВКонтакте</w:t>
      </w:r>
      <w:proofErr w:type="spellEnd"/>
      <w:r w:rsidRPr="00B06E6D">
        <w:t>» (</w:t>
      </w:r>
      <w:hyperlink r:id="rId8" w:history="1">
        <w:r w:rsidRPr="00B06E6D">
          <w:rPr>
            <w:rStyle w:val="a9"/>
          </w:rPr>
          <w:t>https://vk.com/sutvdonsk_autoschool</w:t>
        </w:r>
      </w:hyperlink>
      <w:r w:rsidRPr="00B06E6D">
        <w:t xml:space="preserve"> ), в городских СМИ. </w:t>
      </w:r>
    </w:p>
    <w:p w:rsidR="001F2C18" w:rsidRPr="001F2C18" w:rsidRDefault="001F2C18" w:rsidP="001F2C18"/>
    <w:p w:rsidR="001F2C18" w:rsidRDefault="001F2C18" w:rsidP="001F2C18"/>
    <w:p w:rsidR="001F2C18" w:rsidRDefault="001F2C18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  <w:r>
        <w:rPr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6604635</wp:posOffset>
            </wp:positionH>
            <wp:positionV relativeFrom="paragraph">
              <wp:posOffset>1640840</wp:posOffset>
            </wp:positionV>
            <wp:extent cx="3171825" cy="1752600"/>
            <wp:effectExtent l="19050" t="0" r="9525" b="0"/>
            <wp:wrapTight wrapText="bothSides">
              <wp:wrapPolygon edited="0">
                <wp:start x="-130" y="0"/>
                <wp:lineTo x="-130" y="21365"/>
                <wp:lineTo x="21665" y="21365"/>
                <wp:lineTo x="21665" y="0"/>
                <wp:lineTo x="-130" y="0"/>
              </wp:wrapPolygon>
            </wp:wrapTight>
            <wp:docPr id="5" name="Рисунок 4" descr="C:\Users\merentsova\Documents\ОТЧЕТЫ БЮДЖЕТИРОВАНИЕ\СЮТ\10. Фотоматериалы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rentsova\Documents\ОТЧЕТЫ БЮДЖЕТИРОВАНИЕ\СЮТ\10. Фотоматериалы\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6604635</wp:posOffset>
            </wp:positionH>
            <wp:positionV relativeFrom="paragraph">
              <wp:posOffset>-264160</wp:posOffset>
            </wp:positionV>
            <wp:extent cx="3171825" cy="1781175"/>
            <wp:effectExtent l="19050" t="0" r="9525" b="0"/>
            <wp:wrapTight wrapText="bothSides">
              <wp:wrapPolygon edited="0">
                <wp:start x="-130" y="0"/>
                <wp:lineTo x="-130" y="21484"/>
                <wp:lineTo x="21665" y="21484"/>
                <wp:lineTo x="21665" y="0"/>
                <wp:lineTo x="-130" y="0"/>
              </wp:wrapPolygon>
            </wp:wrapTight>
            <wp:docPr id="6" name="Рисунок 5" descr="C:\Users\merentsova\Documents\ОТЧЕТЫ БЮДЖЕТИРОВАНИЕ\СЮТ\10. Фотоматериалы\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rentsova\Documents\ОТЧЕТЫ БЮДЖЕТИРОВАНИЕ\СЮТ\10. Фотоматериалы\9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-264160</wp:posOffset>
            </wp:positionV>
            <wp:extent cx="3482340" cy="2324100"/>
            <wp:effectExtent l="19050" t="0" r="3810" b="0"/>
            <wp:wrapTight wrapText="bothSides">
              <wp:wrapPolygon edited="0">
                <wp:start x="-118" y="0"/>
                <wp:lineTo x="-118" y="21423"/>
                <wp:lineTo x="21624" y="21423"/>
                <wp:lineTo x="21624" y="0"/>
                <wp:lineTo x="-118" y="0"/>
              </wp:wrapPolygon>
            </wp:wrapTight>
            <wp:docPr id="3" name="Рисунок 2" descr="C:\Users\merentsova\Documents\ОТЧЕТЫ БЮДЖЕТИРОВАНИЕ\СЮТ\10. Фотоматериалы\FOTO5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rentsova\Documents\ОТЧЕТЫ БЮДЖЕТИРОВАНИЕ\СЮТ\10. Фотоматериалы\FOTO58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-264160</wp:posOffset>
            </wp:positionV>
            <wp:extent cx="3117215" cy="2324100"/>
            <wp:effectExtent l="19050" t="0" r="6985" b="0"/>
            <wp:wrapTight wrapText="bothSides">
              <wp:wrapPolygon edited="0">
                <wp:start x="-132" y="0"/>
                <wp:lineTo x="-132" y="21423"/>
                <wp:lineTo x="21648" y="21423"/>
                <wp:lineTo x="21648" y="0"/>
                <wp:lineTo x="-132" y="0"/>
              </wp:wrapPolygon>
            </wp:wrapTight>
            <wp:docPr id="1" name="Рисунок 1" descr="C:\Users\merentsova\Documents\ОТЧЕТЫ БЮДЖЕТИРОВАНИЕ\СЮТ\10. Фотоматериалы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entsova\Documents\ОТЧЕТЫ БЮДЖЕТИРОВАНИЕ\СЮТ\10. Фотоматериалы\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532057" w:rsidP="001F2C18">
      <w:pPr>
        <w:rPr>
          <w:sz w:val="16"/>
          <w:szCs w:val="16"/>
          <w:lang w:val="en-US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82550</wp:posOffset>
            </wp:positionV>
            <wp:extent cx="2362200" cy="3667125"/>
            <wp:effectExtent l="19050" t="0" r="0" b="0"/>
            <wp:wrapTight wrapText="bothSides">
              <wp:wrapPolygon edited="0">
                <wp:start x="-174" y="0"/>
                <wp:lineTo x="-174" y="21544"/>
                <wp:lineTo x="21600" y="21544"/>
                <wp:lineTo x="21600" y="0"/>
                <wp:lineTo x="-174" y="0"/>
              </wp:wrapPolygon>
            </wp:wrapTight>
            <wp:docPr id="7" name="Рисунок 6" descr="C:\Users\merentsova\Documents\ОТЧЕТЫ БЮДЖЕТИРОВАНИЕ\СЮТ\10. Фотоматериалы\102d34d2-8261-4864-b67b-872fdc25e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rentsova\Documents\ОТЧЕТЫ БЮДЖЕТИРОВАНИЕ\СЮТ\10. Фотоматериалы\102d34d2-8261-4864-b67b-872fdc25e67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82550</wp:posOffset>
            </wp:positionV>
            <wp:extent cx="3539490" cy="2362200"/>
            <wp:effectExtent l="19050" t="0" r="3810" b="0"/>
            <wp:wrapTight wrapText="bothSides">
              <wp:wrapPolygon edited="0">
                <wp:start x="-116" y="0"/>
                <wp:lineTo x="-116" y="21426"/>
                <wp:lineTo x="21623" y="21426"/>
                <wp:lineTo x="21623" y="0"/>
                <wp:lineTo x="-116" y="0"/>
              </wp:wrapPolygon>
            </wp:wrapTight>
            <wp:docPr id="4" name="Рисунок 3" descr="C:\Users\merentsova\Documents\ОТЧЕТЫ БЮДЖЕТИРОВАНИЕ\СЮТ\10. Фотоматериалы\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rentsova\Documents\ОТЧЕТЫ БЮДЖЕТИРОВАНИЕ\СЮТ\10. Фотоматериалы\9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9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0674E0" w:rsidP="001F2C18">
      <w:pPr>
        <w:rPr>
          <w:sz w:val="16"/>
          <w:szCs w:val="16"/>
          <w:lang w:val="en-US"/>
        </w:rPr>
      </w:pPr>
    </w:p>
    <w:p w:rsidR="000674E0" w:rsidRDefault="00532057" w:rsidP="001F2C18">
      <w:pPr>
        <w:rPr>
          <w:sz w:val="16"/>
          <w:szCs w:val="16"/>
          <w:lang w:val="en-US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195580</wp:posOffset>
            </wp:positionV>
            <wp:extent cx="3276600" cy="2190750"/>
            <wp:effectExtent l="19050" t="0" r="0" b="0"/>
            <wp:wrapTight wrapText="bothSides">
              <wp:wrapPolygon edited="0">
                <wp:start x="-126" y="0"/>
                <wp:lineTo x="-126" y="21412"/>
                <wp:lineTo x="21600" y="21412"/>
                <wp:lineTo x="21600" y="0"/>
                <wp:lineTo x="-126" y="0"/>
              </wp:wrapPolygon>
            </wp:wrapTight>
            <wp:docPr id="8" name="Рисунок 7" descr="C:\Users\merentsova\Documents\ОТЧЕТЫ БЮДЖЕТИРОВАНИЕ\СЮТ\10. Фотоматериалы\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rentsova\Documents\ОТЧЕТЫ БЮДЖЕТИРОВАНИЕ\СЮТ\10. Фотоматериалы\5 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4E0" w:rsidRPr="000674E0" w:rsidRDefault="000674E0" w:rsidP="001F2C18">
      <w:pPr>
        <w:rPr>
          <w:sz w:val="16"/>
          <w:szCs w:val="16"/>
          <w:lang w:val="en-US"/>
        </w:rPr>
      </w:pPr>
    </w:p>
    <w:sectPr w:rsidR="000674E0" w:rsidRPr="000674E0" w:rsidSect="000E5533">
      <w:headerReference w:type="default" r:id="rId16"/>
      <w:pgSz w:w="16838" w:h="11906" w:orient="landscape"/>
      <w:pgMar w:top="851" w:right="1134" w:bottom="567" w:left="1134" w:header="283" w:footer="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DF0" w:rsidRDefault="00884DF0" w:rsidP="00730239">
      <w:r>
        <w:separator/>
      </w:r>
    </w:p>
  </w:endnote>
  <w:endnote w:type="continuationSeparator" w:id="0">
    <w:p w:rsidR="00884DF0" w:rsidRDefault="00884DF0" w:rsidP="00730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DF0" w:rsidRDefault="00884DF0" w:rsidP="00730239">
      <w:r>
        <w:separator/>
      </w:r>
    </w:p>
  </w:footnote>
  <w:footnote w:type="continuationSeparator" w:id="0">
    <w:p w:rsidR="00884DF0" w:rsidRDefault="00884DF0" w:rsidP="00730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69939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046C4" w:rsidRPr="00730239" w:rsidRDefault="002E4CBE">
        <w:pPr>
          <w:pStyle w:val="a5"/>
          <w:jc w:val="center"/>
          <w:rPr>
            <w:sz w:val="20"/>
            <w:szCs w:val="20"/>
          </w:rPr>
        </w:pPr>
        <w:r w:rsidRPr="00730239">
          <w:rPr>
            <w:sz w:val="20"/>
            <w:szCs w:val="20"/>
          </w:rPr>
          <w:fldChar w:fldCharType="begin"/>
        </w:r>
        <w:r w:rsidR="009046C4" w:rsidRPr="00730239">
          <w:rPr>
            <w:sz w:val="20"/>
            <w:szCs w:val="20"/>
          </w:rPr>
          <w:instrText>PAGE   \* MERGEFORMAT</w:instrText>
        </w:r>
        <w:r w:rsidRPr="00730239">
          <w:rPr>
            <w:sz w:val="20"/>
            <w:szCs w:val="20"/>
          </w:rPr>
          <w:fldChar w:fldCharType="separate"/>
        </w:r>
        <w:r w:rsidR="00532057">
          <w:rPr>
            <w:noProof/>
            <w:sz w:val="20"/>
            <w:szCs w:val="20"/>
          </w:rPr>
          <w:t>5</w:t>
        </w:r>
        <w:r w:rsidRPr="00730239">
          <w:rPr>
            <w:sz w:val="20"/>
            <w:szCs w:val="20"/>
          </w:rPr>
          <w:fldChar w:fldCharType="end"/>
        </w:r>
      </w:p>
    </w:sdtContent>
  </w:sdt>
  <w:p w:rsidR="009046C4" w:rsidRDefault="009046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A79F3"/>
    <w:multiLevelType w:val="hybridMultilevel"/>
    <w:tmpl w:val="ED64D0FE"/>
    <w:lvl w:ilvl="0" w:tplc="9F9837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9E3EA4"/>
    <w:multiLevelType w:val="hybridMultilevel"/>
    <w:tmpl w:val="F8124B12"/>
    <w:lvl w:ilvl="0" w:tplc="F0323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56850F6"/>
    <w:multiLevelType w:val="hybridMultilevel"/>
    <w:tmpl w:val="99608236"/>
    <w:lvl w:ilvl="0" w:tplc="6AE42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635F16"/>
    <w:multiLevelType w:val="hybridMultilevel"/>
    <w:tmpl w:val="F2DEF050"/>
    <w:lvl w:ilvl="0" w:tplc="59384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E05"/>
    <w:rsid w:val="00052A99"/>
    <w:rsid w:val="000674E0"/>
    <w:rsid w:val="00080E2D"/>
    <w:rsid w:val="000E5533"/>
    <w:rsid w:val="001D3D02"/>
    <w:rsid w:val="001F201F"/>
    <w:rsid w:val="001F2C18"/>
    <w:rsid w:val="00203D28"/>
    <w:rsid w:val="00227790"/>
    <w:rsid w:val="00233994"/>
    <w:rsid w:val="00246E78"/>
    <w:rsid w:val="002D714E"/>
    <w:rsid w:val="002E4CBE"/>
    <w:rsid w:val="002F27C8"/>
    <w:rsid w:val="002F2812"/>
    <w:rsid w:val="003042E8"/>
    <w:rsid w:val="0036298F"/>
    <w:rsid w:val="00387086"/>
    <w:rsid w:val="003922BF"/>
    <w:rsid w:val="003A7679"/>
    <w:rsid w:val="003C4085"/>
    <w:rsid w:val="00407B3A"/>
    <w:rsid w:val="004478A5"/>
    <w:rsid w:val="0049731B"/>
    <w:rsid w:val="004A55E6"/>
    <w:rsid w:val="004B4D55"/>
    <w:rsid w:val="00531416"/>
    <w:rsid w:val="00532057"/>
    <w:rsid w:val="006205B6"/>
    <w:rsid w:val="00623A47"/>
    <w:rsid w:val="00627651"/>
    <w:rsid w:val="006D6C8D"/>
    <w:rsid w:val="006D7450"/>
    <w:rsid w:val="006E1A82"/>
    <w:rsid w:val="006F649A"/>
    <w:rsid w:val="00730239"/>
    <w:rsid w:val="00753656"/>
    <w:rsid w:val="00784796"/>
    <w:rsid w:val="007851C7"/>
    <w:rsid w:val="007938EE"/>
    <w:rsid w:val="00794CA7"/>
    <w:rsid w:val="007A732F"/>
    <w:rsid w:val="007B298D"/>
    <w:rsid w:val="007B7FFA"/>
    <w:rsid w:val="007E4994"/>
    <w:rsid w:val="008065F5"/>
    <w:rsid w:val="00866EB0"/>
    <w:rsid w:val="00884DF0"/>
    <w:rsid w:val="00885826"/>
    <w:rsid w:val="008D451E"/>
    <w:rsid w:val="008E2A22"/>
    <w:rsid w:val="009046C4"/>
    <w:rsid w:val="00925488"/>
    <w:rsid w:val="009533D3"/>
    <w:rsid w:val="009B2EBC"/>
    <w:rsid w:val="009E503E"/>
    <w:rsid w:val="00A25CF5"/>
    <w:rsid w:val="00A34C42"/>
    <w:rsid w:val="00A37D5C"/>
    <w:rsid w:val="00A62790"/>
    <w:rsid w:val="00B04E05"/>
    <w:rsid w:val="00B05CCD"/>
    <w:rsid w:val="00B06E6D"/>
    <w:rsid w:val="00BA1458"/>
    <w:rsid w:val="00BB5FFE"/>
    <w:rsid w:val="00C7160B"/>
    <w:rsid w:val="00C920CD"/>
    <w:rsid w:val="00D34506"/>
    <w:rsid w:val="00D42047"/>
    <w:rsid w:val="00D73E88"/>
    <w:rsid w:val="00DB54FC"/>
    <w:rsid w:val="00E10E93"/>
    <w:rsid w:val="00E3472F"/>
    <w:rsid w:val="00EA4A20"/>
    <w:rsid w:val="00EB7E8B"/>
    <w:rsid w:val="00EF475C"/>
    <w:rsid w:val="00FE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FFA"/>
    <w:pPr>
      <w:ind w:left="720"/>
      <w:contextualSpacing/>
    </w:pPr>
  </w:style>
  <w:style w:type="table" w:styleId="a4">
    <w:name w:val="Table Grid"/>
    <w:basedOn w:val="a1"/>
    <w:uiPriority w:val="59"/>
    <w:rsid w:val="007B7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02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0239"/>
  </w:style>
  <w:style w:type="paragraph" w:styleId="a7">
    <w:name w:val="footer"/>
    <w:basedOn w:val="a"/>
    <w:link w:val="a8"/>
    <w:uiPriority w:val="99"/>
    <w:unhideWhenUsed/>
    <w:rsid w:val="007302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0239"/>
  </w:style>
  <w:style w:type="character" w:styleId="a9">
    <w:name w:val="Hyperlink"/>
    <w:basedOn w:val="a0"/>
    <w:uiPriority w:val="99"/>
    <w:unhideWhenUsed/>
    <w:rsid w:val="007E4994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B06E6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74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7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FFA"/>
    <w:pPr>
      <w:ind w:left="720"/>
      <w:contextualSpacing/>
    </w:pPr>
  </w:style>
  <w:style w:type="table" w:styleId="a4">
    <w:name w:val="Table Grid"/>
    <w:basedOn w:val="a1"/>
    <w:uiPriority w:val="59"/>
    <w:rsid w:val="007B7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02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0239"/>
  </w:style>
  <w:style w:type="paragraph" w:styleId="a7">
    <w:name w:val="footer"/>
    <w:basedOn w:val="a"/>
    <w:link w:val="a8"/>
    <w:uiPriority w:val="99"/>
    <w:unhideWhenUsed/>
    <w:rsid w:val="007302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0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utvdonsk_autoschool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tvdonsk.ru/road_safetyac_ademy.html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merentsova</cp:lastModifiedBy>
  <cp:revision>3</cp:revision>
  <cp:lastPrinted>2020-10-21T08:21:00Z</cp:lastPrinted>
  <dcterms:created xsi:type="dcterms:W3CDTF">2020-12-24T15:03:00Z</dcterms:created>
  <dcterms:modified xsi:type="dcterms:W3CDTF">2020-12-25T07:12:00Z</dcterms:modified>
</cp:coreProperties>
</file>