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АДМИНИСТРАЦИЯ ГОРОДА ВОЛГОДОНСКА</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10 февраля 2014 г. N 268</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 ПОЛОЖЕНИЯ О ПОРЯДКЕ ОСУЩЕСТВЛЕНИЯ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ВЕДОМСТВЕННОГО КОНТРОЛЯ В СФЕРЕ ЗАКУПОК ДЛЯ ОБЕСПЕЧЕНИЯ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Администрации г. Волгодонска</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16.12.2014 </w:t>
            </w:r>
            <w:r>
              <w:rPr>
                <w:rFonts w:ascii="Arial" w:hAnsi="Arial" w:cs="Arial" w:eastAsia="Arial"/>
                <w:color w:val="392C69"/>
                <w:spacing w:val="0"/>
                <w:position w:val="0"/>
                <w:sz w:val="16"/>
                <w:shd w:fill="auto" w:val="clear"/>
              </w:rPr>
              <w:t xml:space="preserve">, от 07.09.2016 </w:t>
            </w:r>
            <w:r>
              <w:rPr>
                <w:rFonts w:ascii="Arial" w:hAnsi="Arial" w:cs="Arial" w:eastAsia="Arial"/>
                <w:color w:val="392C69"/>
                <w:spacing w:val="0"/>
                <w:position w:val="0"/>
                <w:sz w:val="16"/>
                <w:shd w:fill="auto" w:val="clear"/>
              </w:rPr>
              <w:t xml:space="preserve">, от 14.10.2019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24.07.2020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со </w:t>
      </w:r>
      <w:r>
        <w:rPr>
          <w:rFonts w:ascii="Arial" w:hAnsi="Arial" w:cs="Arial" w:eastAsia="Arial"/>
          <w:color w:val="auto"/>
          <w:spacing w:val="0"/>
          <w:position w:val="0"/>
          <w:sz w:val="16"/>
          <w:shd w:fill="auto" w:val="clear"/>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Федеральным </w:t>
      </w:r>
      <w:r>
        <w:rPr>
          <w:rFonts w:ascii="Arial" w:hAnsi="Arial" w:cs="Arial" w:eastAsia="Arial"/>
          <w:color w:val="auto"/>
          <w:spacing w:val="0"/>
          <w:position w:val="0"/>
          <w:sz w:val="16"/>
          <w:shd w:fill="auto" w:val="clear"/>
        </w:rPr>
        <w:t xml:space="preserve"> от 06.10.2003 N 131-ФЗ "Об общих принципах организации местного самоуправления в Российской Федерации", </w:t>
      </w:r>
      <w:r>
        <w:rPr>
          <w:rFonts w:ascii="Arial" w:hAnsi="Arial" w:cs="Arial" w:eastAsia="Arial"/>
          <w:color w:val="auto"/>
          <w:spacing w:val="0"/>
          <w:position w:val="0"/>
          <w:sz w:val="16"/>
          <w:shd w:fill="auto" w:val="clear"/>
        </w:rPr>
        <w:t xml:space="preserve"> Правительства Ростовской области от 26.12.2013 N 824 "Об утверждении Порядка осуществления ведомственного контроля в сфере закупок для обеспечения государственных нужд Ростовской области", </w:t>
      </w:r>
      <w:r>
        <w:rPr>
          <w:rFonts w:ascii="Arial" w:hAnsi="Arial" w:cs="Arial" w:eastAsia="Arial"/>
          <w:color w:val="auto"/>
          <w:spacing w:val="0"/>
          <w:position w:val="0"/>
          <w:sz w:val="16"/>
          <w:shd w:fill="auto" w:val="clear"/>
        </w:rPr>
        <w:t xml:space="preserve"> муниципального образования "Город Волгодонск" постановляю: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w:t>
      </w:r>
      <w:r>
        <w:rPr>
          <w:rFonts w:ascii="Arial" w:hAnsi="Arial" w:cs="Arial" w:eastAsia="Arial"/>
          <w:color w:val="auto"/>
          <w:spacing w:val="0"/>
          <w:position w:val="0"/>
          <w:sz w:val="16"/>
          <w:shd w:fill="auto" w:val="clear"/>
        </w:rPr>
        <w:t xml:space="preserve"> о порядке осуществления ведомственного контроля в сфере закупок для обеспечения муниципальных нужд (приложение).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Постановление вступает в силу со дня его официального опубликования, за исключением положений, для которых настоящим пунктом установлены иные сроки вступления в силу.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приложения к настоящему постановлению вступают в силу с 1 января 2017 года.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(пп. 2.1 в ред. </w:t>
      </w:r>
      <w:r>
        <w:rPr>
          <w:rFonts w:ascii="Arial" w:hAnsi="Arial" w:cs="Arial" w:eastAsia="Arial"/>
          <w:color w:val="auto"/>
          <w:spacing w:val="0"/>
          <w:position w:val="0"/>
          <w:sz w:val="16"/>
          <w:shd w:fill="auto" w:val="clear"/>
        </w:rPr>
        <w:t xml:space="preserve"> Администрации г. Волгодонска от 07.09.2016 N 2289)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w:t>
      </w:r>
      <w:r>
        <w:rPr>
          <w:rFonts w:ascii="Arial" w:hAnsi="Arial" w:cs="Arial" w:eastAsia="Arial"/>
          <w:color w:val="auto"/>
          <w:spacing w:val="0"/>
          <w:position w:val="0"/>
          <w:sz w:val="16"/>
          <w:shd w:fill="auto" w:val="clear"/>
        </w:rPr>
        <w:t xml:space="preserve"> приложения к настоящему постановлению вступает в силу с 1 января 2017 года.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 </w:t>
      </w:r>
      <w:r>
        <w:rPr>
          <w:rFonts w:ascii="Arial" w:hAnsi="Arial" w:cs="Arial" w:eastAsia="Arial"/>
          <w:color w:val="auto"/>
          <w:spacing w:val="0"/>
          <w:position w:val="0"/>
          <w:sz w:val="16"/>
          <w:shd w:fill="auto" w:val="clear"/>
        </w:rPr>
        <w:t xml:space="preserve"> приложения к настоящему постановлению вступает в силу с 1 января 2015 года.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2.3 введен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Контроль за исполнением постановления возложить на заместителя главы Администрации города Волгодонска по экономике и финансам И.В. Столяра.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Мэр</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В.А.ФИРСОВ</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Проект постановления</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вносит Отдел контроля</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сфере закупок</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Администрации города</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Волгодонска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постановлению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Администрации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10.02.2014 N 268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ПОЛОЖЕНИЕ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ПОРЯДКЕ ОСУЩЕСТВЛЕНИЯ ВЕДОМСТВЕННОГО КОНТРОЛЯ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В СФЕРЕ ЗАКУПОК ДЛЯ ОБЕСПЕЧЕНИЯ 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Администрации г. Волгодонска</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16.12.2014 </w:t>
            </w:r>
            <w:r>
              <w:rPr>
                <w:rFonts w:ascii="Arial" w:hAnsi="Arial" w:cs="Arial" w:eastAsia="Arial"/>
                <w:color w:val="392C69"/>
                <w:spacing w:val="0"/>
                <w:position w:val="0"/>
                <w:sz w:val="16"/>
                <w:shd w:fill="auto" w:val="clear"/>
              </w:rPr>
              <w:t xml:space="preserve">, от 07.09.2016 </w:t>
            </w:r>
            <w:r>
              <w:rPr>
                <w:rFonts w:ascii="Arial" w:hAnsi="Arial" w:cs="Arial" w:eastAsia="Arial"/>
                <w:color w:val="392C69"/>
                <w:spacing w:val="0"/>
                <w:position w:val="0"/>
                <w:sz w:val="16"/>
                <w:shd w:fill="auto" w:val="clear"/>
              </w:rPr>
              <w:t xml:space="preserve">, от 14.10.2019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24.07.2020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1. Общие положения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 Настоящее Положение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Положение) Администрацией города Волгодонска и органами Администрации города Волгодонска (далее - органы ведомственного контроля) в соответствии с Федеральным </w:t>
      </w:r>
      <w:r>
        <w:rPr>
          <w:rFonts w:ascii="Arial" w:hAnsi="Arial" w:cs="Arial" w:eastAsia="Arial"/>
          <w:color w:val="auto"/>
          <w:spacing w:val="0"/>
          <w:position w:val="0"/>
          <w:sz w:val="16"/>
          <w:shd w:fill="auto" w:val="clear"/>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w:t>
      </w:r>
      <w:r>
        <w:rPr>
          <w:rFonts w:ascii="Arial" w:hAnsi="Arial" w:cs="Arial" w:eastAsia="Arial"/>
          <w:color w:val="auto"/>
          <w:spacing w:val="0"/>
          <w:position w:val="0"/>
          <w:sz w:val="16"/>
          <w:shd w:fill="auto" w:val="clear"/>
        </w:rPr>
        <w:t xml:space="preserve"> от 05.04.2013 N 44-ФЗ).</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07.09.2016 N 2289)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 При осуществлении ведомственного контроля органы ведомственного контроля осуществляют проверку соблюдения требований законодательства Российской Федерации о контрактной системе в сфере закупок, в том числе: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1.4.1. Соблюдения ограничений и запретов, установленных законодательством Российской Федерации о контрактной системе в сфере закупок.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1.4.2. Соблюдения правил нормирования в сфере закупок для обеспечения муниципальных нужд.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1.4.3.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 закупок, с которыми заключаются контракты, в реестре контрактов, заключенных заказчиками.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1.4.6.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1.4.7. Соблюдения требований по определению поставщика (подрядчика, исполнителя).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1.4.8.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1.4.9. Соответствия поставленного товара, выполненной работы (ее результата) или оказанной услуги условиям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1.4.10.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1.4.11. Соответствия использования поставленного товара, выполненной работы (ее результата) или оказанной услуги целям осуществления закупки.</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1.4 в ред. </w:t>
      </w:r>
      <w:r>
        <w:rPr>
          <w:rFonts w:ascii="Arial" w:hAnsi="Arial" w:cs="Arial" w:eastAsia="Arial"/>
          <w:color w:val="auto"/>
          <w:spacing w:val="0"/>
          <w:position w:val="0"/>
          <w:sz w:val="16"/>
          <w:shd w:fill="auto" w:val="clear"/>
        </w:rPr>
        <w:t xml:space="preserve"> Администрации г. Волгодонска от 24.07.2020 N 1456)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 Указанные в </w:t>
      </w:r>
      <w:r>
        <w:rPr>
          <w:rFonts w:ascii="Arial" w:hAnsi="Arial" w:cs="Arial" w:eastAsia="Arial"/>
          <w:color w:val="auto"/>
          <w:spacing w:val="0"/>
          <w:position w:val="0"/>
          <w:sz w:val="16"/>
          <w:shd w:fill="auto" w:val="clear"/>
        </w:rPr>
        <w:t xml:space="preserve"> настоящего раздела должностные лица осуществляют ведомственный контроль в соответствии с регламентом, утвержденным приказом (распоряжением) органа ведомственного контроля в соответствии с настоящим Положением".</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1.6 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 Регламентом, указанным в </w:t>
      </w:r>
      <w:r>
        <w:rPr>
          <w:rFonts w:ascii="Arial" w:hAnsi="Arial" w:cs="Arial" w:eastAsia="Arial"/>
          <w:color w:val="auto"/>
          <w:spacing w:val="0"/>
          <w:position w:val="0"/>
          <w:sz w:val="16"/>
          <w:shd w:fill="auto" w:val="clear"/>
        </w:rPr>
        <w:t xml:space="preserve"> настоящего раздела, в том числе определяется перечень должностных лиц, уполномоченных на проведение мероприятий ведомственного контроля, их права, обязанности и ответственность.</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1.7 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 Ведомственный контроль осуществляется путем проведения выездных или документарных мероприятий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2. Порядок организации и проведения мероприятий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ведомственного контроля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Выездные или документарные мероприятия ведомственного контроля проводятся: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2.1.1. В соответствии с планом, утвержденным: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в Администрации города Волгодонска - главой Администрации города Волгодонска;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07.09.2016 N 2289)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в органах Администрации города Волгодонска - руководителем органа Администрации города Волгодонска в отношении подведомственных ему учреждений.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отношении каждого субъекта ведомственного контроля такие плановые мероприятия проводятся не чаще чем один раз в шесть месяцев.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2.1.2. По приказу (распоряжению) органа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План мероприятий ведомственного контроля должен содержать следующие сведения: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 Наименование субъекта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2.2.2. Предмет проверки (проверяемые вопросы), в том числе период времени, за который проверяется деятельность субъекта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2.2.3. Вид мероприятия ведомственного контроля (выездное или документарное).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2.2.4. Дату начала и дату окончания проведения мероприятия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 План мероприятий ведомственного контроля может содержать иную информацию.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десять рабочих дней до начала проведения мероприятия ведомственного контроля, в отношении которого вносятся такие изменения.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24.07.2020 N 1456)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три рабочих дня до даты начала такого мероприятия.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24.07.2020 N 1456)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 проведении мероприятия ведомственного контроля по основанию, предусмотренному </w:t>
      </w:r>
      <w:r>
        <w:rPr>
          <w:rFonts w:ascii="Arial" w:hAnsi="Arial" w:cs="Arial" w:eastAsia="Arial"/>
          <w:color w:val="auto"/>
          <w:spacing w:val="0"/>
          <w:position w:val="0"/>
          <w:sz w:val="16"/>
          <w:shd w:fill="auto" w:val="clear"/>
        </w:rPr>
        <w:t xml:space="preserve"> настоящего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 Уведомление должно содержать следующую информацию: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2.6.1. Наименование субъекта ведомственного контроля, которому адресовано данное уведомление.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2.6.3. Вид мероприятия ведомственного контроля (выездное или документарное).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2.6.4. Дату начала и дату окончания проведения мероприятия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2.6.5. Перечень должностных лиц, уполномоченных на осуществление мероприятия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2.6.6. Запрос о представлении документов, информации, необходимых для осуществления мероприятия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для проведения такого мероприятия средств и оборудования.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 Срок проведения мероприятия ведомственного контроля не может составлять более чем 15 календарных дней и может быть продлен только один раз по решению руководителя органа ведомственного контроля или лица, его замещающего, не более чем на 15 календарных дней.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 При проведении мероприятия ведомственного контроля должностные лица, уполномоченные на осуществление ведомственного контроля, имеют право: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2.8.1. Беспрепятственного доступа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2.9. 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органа ведомственного контроля лицу в течение 3 рабочих дней с даты составления 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r>
        <w:rPr>
          <w:rFonts w:ascii="Arial" w:hAnsi="Arial" w:cs="Arial" w:eastAsia="Arial"/>
          <w:color w:val="auto"/>
          <w:spacing w:val="0"/>
          <w:position w:val="0"/>
          <w:sz w:val="16"/>
          <w:shd w:fill="auto" w:val="clear"/>
        </w:rPr>
        <w:t xml:space="preserve"> настоящего Положения, в срок не более чем 10 рабочих дней разрабатывается и утверждается план устранения выявленных нарушений.</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2.9 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2.10. Материалы по результатам мероприятий ведомственного контроля, в том числе план устранения выявленных нарушений, указанный в </w:t>
      </w:r>
      <w:r>
        <w:rPr>
          <w:rFonts w:ascii="Arial" w:hAnsi="Arial" w:cs="Arial" w:eastAsia="Arial"/>
          <w:color w:val="auto"/>
          <w:spacing w:val="0"/>
          <w:position w:val="0"/>
          <w:sz w:val="16"/>
          <w:shd w:fill="auto" w:val="clear"/>
        </w:rPr>
        <w:t xml:space="preserve">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2.10 в ред. </w:t>
      </w:r>
      <w:r>
        <w:rPr>
          <w:rFonts w:ascii="Arial" w:hAnsi="Arial" w:cs="Arial" w:eastAsia="Arial"/>
          <w:color w:val="auto"/>
          <w:spacing w:val="0"/>
          <w:position w:val="0"/>
          <w:sz w:val="16"/>
          <w:shd w:fill="auto" w:val="clear"/>
        </w:rPr>
        <w:t xml:space="preserve"> Администрации г. Волгодонска от 16.12.2014 N 4540)</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Управляющий делами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И.В.ОРЛОВА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