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3" Target="docProps/core.xml" Type="http://schemas.openxmlformats.org/package/2006/relationships/metadata/core-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4000000">
      <w:pPr>
        <w:spacing w:after="0"/>
        <w:ind/>
        <w:jc w:val="center"/>
        <w:rPr>
          <w:rFonts w:ascii="Times New Roman" w:hAnsi="Times New Roman"/>
          <w:sz w:val="28"/>
        </w:rPr>
      </w:pPr>
      <w:bookmarkStart w:id="1" w:name="_GoBack"/>
      <w:bookmarkEnd w:id="1"/>
    </w:p>
    <w:p w14:paraId="05000000">
      <w:pPr>
        <w:spacing w:after="0"/>
        <w:ind/>
        <w:jc w:val="center"/>
        <w:rPr>
          <w:rFonts w:ascii="Times New Roman" w:hAnsi="Times New Roman"/>
          <w:sz w:val="28"/>
        </w:rPr>
      </w:pPr>
    </w:p>
    <w:p w14:paraId="06000000">
      <w:pPr>
        <w:spacing w:after="0"/>
        <w:ind/>
        <w:jc w:val="center"/>
        <w:rPr>
          <w:rFonts w:ascii="Times New Roman" w:hAnsi="Times New Roman"/>
          <w:sz w:val="28"/>
        </w:rPr>
      </w:pPr>
    </w:p>
    <w:p w14:paraId="07000000">
      <w:pPr>
        <w:spacing w:after="0"/>
        <w:ind/>
        <w:jc w:val="center"/>
        <w:rPr>
          <w:rFonts w:ascii="Times New Roman" w:hAnsi="Times New Roman"/>
          <w:sz w:val="28"/>
        </w:rPr>
      </w:pPr>
    </w:p>
    <w:p w14:paraId="08000000">
      <w:pPr>
        <w:spacing w:after="0"/>
        <w:ind/>
        <w:jc w:val="center"/>
        <w:rPr>
          <w:rFonts w:ascii="Times New Roman" w:hAnsi="Times New Roman"/>
          <w:sz w:val="28"/>
        </w:rPr>
      </w:pPr>
    </w:p>
    <w:p w14:paraId="09000000">
      <w:pPr>
        <w:spacing w:after="0"/>
        <w:ind/>
        <w:jc w:val="center"/>
        <w:rPr>
          <w:rFonts w:ascii="Times New Roman" w:hAnsi="Times New Roman"/>
          <w:sz w:val="28"/>
        </w:rPr>
      </w:pPr>
    </w:p>
    <w:p w14:paraId="0A000000">
      <w:pPr>
        <w:spacing w:after="0"/>
        <w:ind/>
        <w:jc w:val="center"/>
        <w:rPr>
          <w:rFonts w:ascii="Times New Roman" w:hAnsi="Times New Roman"/>
          <w:sz w:val="28"/>
        </w:rPr>
      </w:pPr>
    </w:p>
    <w:p w14:paraId="0B000000">
      <w:pPr>
        <w:spacing w:after="0"/>
        <w:ind/>
        <w:jc w:val="center"/>
        <w:rPr>
          <w:rFonts w:ascii="Times New Roman" w:hAnsi="Times New Roman"/>
          <w:sz w:val="28"/>
        </w:rPr>
      </w:pPr>
    </w:p>
    <w:p w14:paraId="0C000000">
      <w:pPr>
        <w:spacing w:after="0"/>
        <w:ind/>
        <w:jc w:val="center"/>
        <w:rPr>
          <w:rFonts w:ascii="Times New Roman" w:hAnsi="Times New Roman"/>
          <w:sz w:val="28"/>
        </w:rPr>
      </w:pPr>
    </w:p>
    <w:p w14:paraId="0D000000">
      <w:pPr>
        <w:spacing w:after="0"/>
        <w:ind/>
        <w:jc w:val="center"/>
        <w:rPr>
          <w:rFonts w:ascii="Times New Roman" w:hAnsi="Times New Roman"/>
          <w:sz w:val="28"/>
        </w:rPr>
      </w:pPr>
    </w:p>
    <w:p w14:paraId="0E000000">
      <w:pPr>
        <w:spacing w:after="0"/>
        <w:ind/>
        <w:jc w:val="center"/>
        <w:rPr>
          <w:rFonts w:ascii="Times New Roman" w:hAnsi="Times New Roman"/>
          <w:sz w:val="28"/>
        </w:rPr>
      </w:pPr>
    </w:p>
    <w:p w14:paraId="0F000000">
      <w:pPr>
        <w:spacing w:after="0"/>
        <w:ind/>
        <w:jc w:val="center"/>
        <w:rPr>
          <w:rFonts w:ascii="Times New Roman" w:hAnsi="Times New Roman"/>
          <w:sz w:val="28"/>
        </w:rPr>
      </w:pPr>
    </w:p>
    <w:p w14:paraId="10000000">
      <w:pPr>
        <w:spacing w:after="0"/>
        <w:ind/>
        <w:jc w:val="center"/>
        <w:rPr>
          <w:rFonts w:ascii="Times New Roman" w:hAnsi="Times New Roman"/>
          <w:sz w:val="144"/>
        </w:rPr>
      </w:pPr>
      <w:r>
        <w:rPr>
          <w:rFonts w:ascii="Times New Roman" w:hAnsi="Times New Roman"/>
          <w:sz w:val="144"/>
        </w:rPr>
        <w:t>ДОКЛАД</w:t>
      </w:r>
    </w:p>
    <w:p w14:paraId="11000000">
      <w:pPr>
        <w:spacing w:after="0"/>
        <w:ind/>
        <w:jc w:val="center"/>
        <w:rPr>
          <w:rFonts w:ascii="Times New Roman" w:hAnsi="Times New Roman"/>
          <w:sz w:val="28"/>
        </w:rPr>
      </w:pPr>
    </w:p>
    <w:p w14:paraId="12000000">
      <w:pPr>
        <w:spacing w:after="0"/>
        <w:ind/>
        <w:jc w:val="center"/>
        <w:rPr>
          <w:rFonts w:ascii="Times New Roman" w:hAnsi="Times New Roman"/>
          <w:sz w:val="28"/>
        </w:rPr>
      </w:pPr>
    </w:p>
    <w:p w14:paraId="13000000">
      <w:pPr>
        <w:spacing w:after="0"/>
        <w:ind/>
        <w:jc w:val="center"/>
        <w:rPr>
          <w:rFonts w:ascii="Times New Roman" w:hAnsi="Times New Roman"/>
          <w:sz w:val="28"/>
        </w:rPr>
      </w:pPr>
    </w:p>
    <w:p w14:paraId="14000000">
      <w:pPr>
        <w:spacing w:after="0"/>
        <w:ind/>
        <w:jc w:val="center"/>
        <w:rPr>
          <w:rFonts w:ascii="Times New Roman" w:hAnsi="Times New Roman"/>
          <w:sz w:val="44"/>
        </w:rPr>
      </w:pPr>
      <w:r>
        <w:rPr>
          <w:rFonts w:ascii="Times New Roman" w:hAnsi="Times New Roman"/>
          <w:sz w:val="44"/>
        </w:rPr>
        <w:t xml:space="preserve">о </w:t>
      </w:r>
      <w:r>
        <w:rPr>
          <w:rFonts w:ascii="Times New Roman" w:hAnsi="Times New Roman"/>
          <w:sz w:val="44"/>
        </w:rPr>
        <w:t>состояни</w:t>
      </w:r>
      <w:r>
        <w:rPr>
          <w:rFonts w:ascii="Times New Roman" w:hAnsi="Times New Roman"/>
          <w:sz w:val="44"/>
        </w:rPr>
        <w:t>и</w:t>
      </w:r>
      <w:r>
        <w:rPr>
          <w:rFonts w:ascii="Times New Roman" w:hAnsi="Times New Roman"/>
          <w:sz w:val="44"/>
        </w:rPr>
        <w:t xml:space="preserve"> </w:t>
      </w:r>
      <w:r>
        <w:rPr>
          <w:rFonts w:ascii="Times New Roman" w:hAnsi="Times New Roman"/>
          <w:sz w:val="44"/>
        </w:rPr>
        <w:t>и развити</w:t>
      </w:r>
      <w:r>
        <w:rPr>
          <w:rFonts w:ascii="Times New Roman" w:hAnsi="Times New Roman"/>
          <w:sz w:val="44"/>
        </w:rPr>
        <w:t>и</w:t>
      </w:r>
    </w:p>
    <w:p w14:paraId="15000000">
      <w:pPr>
        <w:spacing w:after="0"/>
        <w:ind/>
        <w:jc w:val="center"/>
        <w:rPr>
          <w:rFonts w:ascii="Times New Roman" w:hAnsi="Times New Roman"/>
          <w:sz w:val="44"/>
        </w:rPr>
      </w:pPr>
      <w:r>
        <w:rPr>
          <w:rFonts w:ascii="Times New Roman" w:hAnsi="Times New Roman"/>
          <w:sz w:val="44"/>
        </w:rPr>
        <w:t xml:space="preserve">конкурентной </w:t>
      </w:r>
      <w:r>
        <w:rPr>
          <w:rFonts w:ascii="Times New Roman" w:hAnsi="Times New Roman"/>
          <w:sz w:val="44"/>
        </w:rPr>
        <w:t xml:space="preserve">среды </w:t>
      </w:r>
      <w:r>
        <w:rPr>
          <w:rFonts w:ascii="Times New Roman" w:hAnsi="Times New Roman"/>
          <w:sz w:val="44"/>
        </w:rPr>
        <w:t xml:space="preserve">на </w:t>
      </w:r>
      <w:r>
        <w:rPr>
          <w:rFonts w:ascii="Times New Roman" w:hAnsi="Times New Roman"/>
          <w:sz w:val="44"/>
        </w:rPr>
        <w:t>территории</w:t>
      </w:r>
      <w:r>
        <w:rPr>
          <w:rFonts w:ascii="Times New Roman" w:hAnsi="Times New Roman"/>
          <w:sz w:val="44"/>
        </w:rPr>
        <w:t xml:space="preserve"> </w:t>
      </w:r>
    </w:p>
    <w:p w14:paraId="16000000">
      <w:pPr>
        <w:spacing w:after="0"/>
        <w:ind/>
        <w:jc w:val="center"/>
        <w:rPr>
          <w:rFonts w:ascii="Times New Roman" w:hAnsi="Times New Roman"/>
          <w:sz w:val="44"/>
        </w:rPr>
      </w:pPr>
      <w:r>
        <w:rPr>
          <w:rFonts w:ascii="Times New Roman" w:hAnsi="Times New Roman"/>
          <w:sz w:val="44"/>
        </w:rPr>
        <w:t xml:space="preserve">муниципального образования «Город </w:t>
      </w:r>
      <w:r>
        <w:rPr>
          <w:rFonts w:ascii="Times New Roman" w:hAnsi="Times New Roman"/>
          <w:sz w:val="44"/>
        </w:rPr>
        <w:t>Волгодонск</w:t>
      </w:r>
      <w:r>
        <w:rPr>
          <w:rFonts w:ascii="Times New Roman" w:hAnsi="Times New Roman"/>
          <w:sz w:val="44"/>
        </w:rPr>
        <w:t xml:space="preserve">» </w:t>
      </w:r>
    </w:p>
    <w:p w14:paraId="17000000">
      <w:pPr>
        <w:spacing w:after="0"/>
        <w:ind/>
        <w:jc w:val="center"/>
        <w:rPr>
          <w:rFonts w:ascii="Times New Roman" w:hAnsi="Times New Roman"/>
          <w:sz w:val="44"/>
        </w:rPr>
      </w:pPr>
      <w:r>
        <w:rPr>
          <w:rFonts w:ascii="Times New Roman" w:hAnsi="Times New Roman"/>
          <w:sz w:val="44"/>
        </w:rPr>
        <w:t>Ростовской области</w:t>
      </w:r>
      <w:r>
        <w:rPr>
          <w:rFonts w:ascii="Times New Roman" w:hAnsi="Times New Roman"/>
          <w:sz w:val="44"/>
        </w:rPr>
        <w:t xml:space="preserve"> за 20</w:t>
      </w:r>
      <w:r>
        <w:rPr>
          <w:rFonts w:ascii="Times New Roman" w:hAnsi="Times New Roman"/>
          <w:sz w:val="44"/>
        </w:rPr>
        <w:t>21</w:t>
      </w:r>
      <w:r>
        <w:rPr>
          <w:rFonts w:ascii="Times New Roman" w:hAnsi="Times New Roman"/>
          <w:sz w:val="44"/>
        </w:rPr>
        <w:t xml:space="preserve"> год</w:t>
      </w:r>
    </w:p>
    <w:p w14:paraId="18000000">
      <w:pPr>
        <w:spacing w:after="0"/>
        <w:ind/>
        <w:jc w:val="center"/>
        <w:rPr>
          <w:rFonts w:ascii="Times New Roman" w:hAnsi="Times New Roman"/>
          <w:sz w:val="28"/>
        </w:rPr>
      </w:pPr>
    </w:p>
    <w:p w14:paraId="19000000">
      <w:pPr>
        <w:spacing w:after="0"/>
        <w:ind/>
        <w:jc w:val="center"/>
        <w:rPr>
          <w:rFonts w:ascii="Times New Roman" w:hAnsi="Times New Roman"/>
          <w:sz w:val="28"/>
        </w:rPr>
      </w:pPr>
    </w:p>
    <w:p w14:paraId="1A000000">
      <w:pPr>
        <w:spacing w:after="0"/>
        <w:ind/>
        <w:jc w:val="center"/>
        <w:rPr>
          <w:rFonts w:ascii="Times New Roman" w:hAnsi="Times New Roman"/>
          <w:sz w:val="28"/>
        </w:rPr>
      </w:pPr>
    </w:p>
    <w:p w14:paraId="1B000000">
      <w:pPr>
        <w:spacing w:after="0"/>
        <w:ind/>
        <w:jc w:val="center"/>
        <w:rPr>
          <w:rFonts w:ascii="Times New Roman" w:hAnsi="Times New Roman"/>
          <w:sz w:val="28"/>
        </w:rPr>
      </w:pPr>
    </w:p>
    <w:p w14:paraId="1C000000">
      <w:pPr>
        <w:spacing w:after="0"/>
        <w:ind/>
        <w:jc w:val="center"/>
        <w:rPr>
          <w:rFonts w:ascii="Times New Roman" w:hAnsi="Times New Roman"/>
          <w:sz w:val="28"/>
        </w:rPr>
      </w:pPr>
    </w:p>
    <w:p w14:paraId="1D000000">
      <w:pPr>
        <w:spacing w:after="0"/>
        <w:ind/>
        <w:jc w:val="center"/>
        <w:rPr>
          <w:rFonts w:ascii="Times New Roman" w:hAnsi="Times New Roman"/>
          <w:sz w:val="28"/>
        </w:rPr>
      </w:pPr>
    </w:p>
    <w:p w14:paraId="1E000000">
      <w:pPr>
        <w:spacing w:after="0"/>
        <w:ind/>
        <w:jc w:val="center"/>
        <w:rPr>
          <w:rFonts w:ascii="Times New Roman" w:hAnsi="Times New Roman"/>
          <w:sz w:val="28"/>
        </w:rPr>
      </w:pPr>
    </w:p>
    <w:p w14:paraId="1F000000">
      <w:pPr>
        <w:spacing w:after="0"/>
        <w:ind/>
        <w:jc w:val="center"/>
        <w:rPr>
          <w:rFonts w:ascii="Times New Roman" w:hAnsi="Times New Roman"/>
          <w:sz w:val="28"/>
        </w:rPr>
      </w:pPr>
    </w:p>
    <w:p w14:paraId="20000000">
      <w:pPr>
        <w:spacing w:after="0"/>
        <w:ind/>
        <w:jc w:val="center"/>
        <w:rPr>
          <w:rFonts w:ascii="Times New Roman" w:hAnsi="Times New Roman"/>
          <w:sz w:val="28"/>
        </w:rPr>
      </w:pPr>
    </w:p>
    <w:p w14:paraId="21000000">
      <w:pPr>
        <w:spacing w:after="0"/>
        <w:ind/>
        <w:rPr>
          <w:rFonts w:ascii="Times New Roman" w:hAnsi="Times New Roman"/>
          <w:sz w:val="28"/>
        </w:rPr>
      </w:pPr>
    </w:p>
    <w:p w14:paraId="22000000">
      <w:pPr>
        <w:spacing w:after="0"/>
        <w:ind/>
        <w:jc w:val="center"/>
        <w:rPr>
          <w:rFonts w:ascii="Times New Roman" w:hAnsi="Times New Roman"/>
          <w:sz w:val="28"/>
        </w:rPr>
      </w:pPr>
    </w:p>
    <w:p w14:paraId="23000000">
      <w:pPr>
        <w:spacing w:after="0"/>
        <w:ind/>
        <w:jc w:val="center"/>
        <w:rPr>
          <w:rFonts w:ascii="Times New Roman" w:hAnsi="Times New Roman"/>
          <w:sz w:val="28"/>
        </w:rPr>
      </w:pPr>
      <w:r>
        <w:rPr>
          <w:rFonts w:ascii="Times New Roman" w:hAnsi="Times New Roman"/>
          <w:sz w:val="28"/>
        </w:rPr>
        <w:t xml:space="preserve">город </w:t>
      </w:r>
      <w:r>
        <w:rPr>
          <w:rFonts w:ascii="Times New Roman" w:hAnsi="Times New Roman"/>
          <w:sz w:val="28"/>
        </w:rPr>
        <w:t>Волгодонск</w:t>
      </w:r>
    </w:p>
    <w:p w14:paraId="24000000">
      <w:pPr>
        <w:spacing w:after="0"/>
        <w:ind/>
        <w:jc w:val="center"/>
        <w:rPr>
          <w:rFonts w:ascii="Times New Roman" w:hAnsi="Times New Roman"/>
          <w:sz w:val="28"/>
        </w:rPr>
      </w:pPr>
      <w:r>
        <w:rPr>
          <w:rFonts w:ascii="Times New Roman" w:hAnsi="Times New Roman"/>
          <w:sz w:val="28"/>
        </w:rPr>
        <w:t>20</w:t>
      </w:r>
      <w:r>
        <w:rPr>
          <w:rFonts w:ascii="Times New Roman" w:hAnsi="Times New Roman"/>
          <w:sz w:val="28"/>
        </w:rPr>
        <w:t>21</w:t>
      </w:r>
    </w:p>
    <w:p w14:paraId="25000000">
      <w:pPr>
        <w:spacing w:after="0"/>
        <w:ind/>
        <w:jc w:val="center"/>
        <w:rPr>
          <w:rFonts w:ascii="Times New Roman" w:hAnsi="Times New Roman"/>
          <w:b w:val="1"/>
          <w:sz w:val="28"/>
        </w:rPr>
      </w:pPr>
    </w:p>
    <w:p w14:paraId="26000000">
      <w:pPr>
        <w:pStyle w:val="Style_2"/>
        <w:spacing w:before="0"/>
        <w:ind/>
        <w:jc w:val="center"/>
        <w:rPr>
          <w:rFonts w:ascii="Times New Roman" w:hAnsi="Times New Roman"/>
          <w:color w:val="000000"/>
        </w:rPr>
      </w:pPr>
      <w:r>
        <w:rPr>
          <w:rFonts w:ascii="Times New Roman" w:hAnsi="Times New Roman"/>
          <w:color w:val="000000"/>
        </w:rPr>
        <w:br w:type="page"/>
      </w:r>
      <w:r>
        <w:rPr>
          <w:rFonts w:ascii="Times New Roman" w:hAnsi="Times New Roman"/>
          <w:color w:val="000000"/>
        </w:rPr>
        <w:t>Введение</w:t>
      </w:r>
    </w:p>
    <w:p w14:paraId="27000000">
      <w:pPr>
        <w:spacing w:after="0"/>
        <w:ind/>
        <w:rPr>
          <w:rFonts w:ascii="Times New Roman" w:hAnsi="Times New Roman"/>
          <w:sz w:val="28"/>
        </w:rPr>
      </w:pPr>
    </w:p>
    <w:p w14:paraId="28000000">
      <w:pPr>
        <w:pStyle w:val="Style_3"/>
        <w:spacing w:after="0" w:before="0" w:line="276" w:lineRule="auto"/>
        <w:ind w:firstLine="709" w:left="0"/>
        <w:jc w:val="center"/>
        <w:rPr>
          <w:b w:val="1"/>
          <w:sz w:val="28"/>
        </w:rPr>
      </w:pPr>
      <w:r>
        <w:rPr>
          <w:b w:val="1"/>
          <w:sz w:val="28"/>
        </w:rPr>
        <w:t>Состояние и развитие конкурентной среды на территории города Волгодонска</w:t>
      </w:r>
    </w:p>
    <w:p w14:paraId="29000000">
      <w:pPr>
        <w:pStyle w:val="Style_3"/>
        <w:spacing w:after="0" w:before="0" w:line="276" w:lineRule="auto"/>
        <w:ind w:firstLine="709" w:left="0"/>
        <w:jc w:val="both"/>
        <w:rPr>
          <w:sz w:val="28"/>
        </w:rPr>
      </w:pPr>
      <w:r>
        <w:rPr>
          <w:sz w:val="28"/>
        </w:rPr>
        <w:t>По предварительной оценке, по состоянию на 01.01.20</w:t>
      </w:r>
      <w:r>
        <w:rPr>
          <w:sz w:val="28"/>
        </w:rPr>
        <w:t>22 число малых,</w:t>
      </w:r>
      <w:r>
        <w:rPr>
          <w:sz w:val="28"/>
        </w:rPr>
        <w:t xml:space="preserve"> микропредприятий</w:t>
      </w:r>
      <w:r>
        <w:rPr>
          <w:sz w:val="28"/>
        </w:rPr>
        <w:t xml:space="preserve"> и самозанятых</w:t>
      </w:r>
      <w:r>
        <w:rPr>
          <w:sz w:val="28"/>
        </w:rPr>
        <w:t xml:space="preserve"> по городу составило средних предприятий - 11 единиц, индивидуальных предпринимателей </w:t>
      </w:r>
      <w:r>
        <w:rPr>
          <w:sz w:val="28"/>
        </w:rPr>
        <w:t>–</w:t>
      </w:r>
      <w:r>
        <w:rPr>
          <w:sz w:val="28"/>
        </w:rPr>
        <w:t xml:space="preserve"> 4</w:t>
      </w:r>
      <w:r>
        <w:rPr>
          <w:sz w:val="28"/>
        </w:rPr>
        <w:t xml:space="preserve"> </w:t>
      </w:r>
      <w:r>
        <w:rPr>
          <w:sz w:val="28"/>
        </w:rPr>
        <w:t>7</w:t>
      </w:r>
      <w:r>
        <w:rPr>
          <w:sz w:val="28"/>
        </w:rPr>
        <w:t>15</w:t>
      </w:r>
      <w:r>
        <w:rPr>
          <w:sz w:val="28"/>
        </w:rPr>
        <w:t xml:space="preserve"> единиц. Их вклад в налоговые доходы бюджета города (ЕНВД, ЕСХН, патент</w:t>
      </w:r>
      <w:r>
        <w:rPr>
          <w:sz w:val="28"/>
        </w:rPr>
        <w:t>, УСН</w:t>
      </w:r>
      <w:r>
        <w:rPr>
          <w:sz w:val="28"/>
        </w:rPr>
        <w:t>) за 20</w:t>
      </w:r>
      <w:r>
        <w:rPr>
          <w:sz w:val="28"/>
        </w:rPr>
        <w:t>21</w:t>
      </w:r>
      <w:r>
        <w:rPr>
          <w:sz w:val="28"/>
        </w:rPr>
        <w:t xml:space="preserve"> год составил </w:t>
      </w:r>
      <w:r>
        <w:rPr>
          <w:sz w:val="28"/>
        </w:rPr>
        <w:t>140,9</w:t>
      </w:r>
      <w:r>
        <w:rPr>
          <w:sz w:val="28"/>
        </w:rPr>
        <w:t xml:space="preserve"> млн рублей, что составляет </w:t>
      </w:r>
      <w:r>
        <w:rPr>
          <w:sz w:val="28"/>
        </w:rPr>
        <w:t>9,1</w:t>
      </w:r>
      <w:r>
        <w:rPr>
          <w:sz w:val="28"/>
        </w:rPr>
        <w:t xml:space="preserve"> % от всех налоговых доходов.</w:t>
      </w:r>
      <w:r>
        <w:rPr>
          <w:sz w:val="28"/>
        </w:rPr>
        <w:t xml:space="preserve"> В сравнении с предыдущим отчетным периодом этот показатель увеличился на 3,1%.</w:t>
      </w:r>
      <w:r>
        <w:rPr>
          <w:sz w:val="28"/>
        </w:rPr>
        <w:t xml:space="preserve"> </w:t>
      </w:r>
    </w:p>
    <w:tbl>
      <w:tblPr>
        <w:tblStyle w:val="Style_4"/>
        <w:tblInd w:type="dxa" w:w="108"/>
        <w:tblLayout w:type="fixed"/>
      </w:tblPr>
      <w:tblGrid>
        <w:gridCol w:w="709"/>
        <w:gridCol w:w="2806"/>
        <w:gridCol w:w="2024"/>
        <w:gridCol w:w="1992"/>
        <w:gridCol w:w="2250"/>
      </w:tblGrid>
      <w:tr>
        <w:trPr>
          <w:trHeight w:hRule="atLeast" w:val="1125"/>
        </w:trPr>
        <w:tc>
          <w:tcPr>
            <w:tcW w:type="dxa" w:w="709"/>
            <w:tcBorders>
              <w:top w:color="000000" w:sz="4" w:val="single"/>
              <w:left w:color="000000" w:sz="4" w:val="single"/>
              <w:bottom w:color="000000" w:sz="4" w:val="single"/>
              <w:right w:color="000000" w:sz="4" w:val="single"/>
            </w:tcBorders>
            <w:shd w:fill="auto" w:val="clear"/>
          </w:tcPr>
          <w:p w14:paraId="2A00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 п-п</w:t>
            </w:r>
          </w:p>
        </w:tc>
        <w:tc>
          <w:tcPr>
            <w:tcW w:type="dxa" w:w="2806"/>
            <w:tcBorders>
              <w:top w:color="000000" w:sz="4" w:val="single"/>
              <w:left w:sz="4" w:val="nil"/>
              <w:bottom w:color="000000" w:sz="4" w:val="single"/>
              <w:right w:sz="4" w:val="nil"/>
            </w:tcBorders>
            <w:shd w:fill="auto" w:val="clear"/>
          </w:tcPr>
          <w:p w14:paraId="2B00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Наименование</w:t>
            </w:r>
            <w:r>
              <w:rPr>
                <w:rFonts w:ascii="Times New Roman" w:hAnsi="Times New Roman"/>
                <w:b w:val="1"/>
                <w:color w:val="000000"/>
                <w:sz w:val="28"/>
              </w:rPr>
              <w:t xml:space="preserve"> налогоплательщика</w:t>
            </w:r>
          </w:p>
        </w:tc>
        <w:tc>
          <w:tcPr>
            <w:tcW w:type="dxa" w:w="2024"/>
            <w:tcBorders>
              <w:top w:color="000000" w:sz="4" w:val="single"/>
              <w:left w:color="000000" w:sz="4" w:val="single"/>
              <w:bottom w:color="000000" w:sz="4" w:val="single"/>
              <w:right w:color="000000" w:sz="4" w:val="single"/>
            </w:tcBorders>
            <w:shd w:fill="auto" w:val="clear"/>
          </w:tcPr>
          <w:p w14:paraId="2C00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Количество на 01.01.2021</w:t>
            </w:r>
          </w:p>
        </w:tc>
        <w:tc>
          <w:tcPr>
            <w:tcW w:type="dxa" w:w="1992"/>
            <w:tcBorders>
              <w:top w:color="000000" w:sz="4" w:val="single"/>
              <w:left w:sz="4" w:val="nil"/>
              <w:bottom w:color="000000" w:sz="4" w:val="single"/>
              <w:right w:color="000000" w:sz="4" w:val="single"/>
            </w:tcBorders>
            <w:shd w:fill="auto" w:val="clear"/>
          </w:tcPr>
          <w:p w14:paraId="2D00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Количество на 01.01.2022</w:t>
            </w:r>
          </w:p>
        </w:tc>
        <w:tc>
          <w:tcPr>
            <w:tcW w:type="dxa" w:w="2250"/>
            <w:tcBorders>
              <w:top w:color="000000" w:sz="4" w:val="single"/>
              <w:left w:sz="4" w:val="nil"/>
              <w:bottom w:color="000000" w:sz="4" w:val="single"/>
              <w:right w:color="000000" w:sz="4" w:val="single"/>
            </w:tcBorders>
            <w:shd w:fill="auto" w:val="clear"/>
          </w:tcPr>
          <w:p w14:paraId="2E00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Динамика,%</w:t>
            </w:r>
          </w:p>
        </w:tc>
      </w:tr>
      <w:tr>
        <w:trPr>
          <w:trHeight w:hRule="atLeast" w:val="375"/>
        </w:trPr>
        <w:tc>
          <w:tcPr>
            <w:tcW w:type="dxa" w:w="709"/>
            <w:tcBorders>
              <w:top w:sz="4" w:val="nil"/>
              <w:left w:color="000000" w:sz="4" w:val="single"/>
              <w:bottom w:color="000000" w:sz="4" w:val="single"/>
              <w:right w:color="000000" w:sz="4" w:val="single"/>
            </w:tcBorders>
            <w:shd w:fill="auto" w:val="clear"/>
            <w:vAlign w:val="bottom"/>
          </w:tcPr>
          <w:p w14:paraId="2F000000">
            <w:pPr>
              <w:spacing w:after="0" w:line="240" w:lineRule="auto"/>
              <w:ind/>
              <w:jc w:val="right"/>
              <w:rPr>
                <w:rFonts w:ascii="Times New Roman" w:hAnsi="Times New Roman"/>
                <w:color w:val="000000"/>
                <w:sz w:val="28"/>
              </w:rPr>
            </w:pPr>
            <w:r>
              <w:rPr>
                <w:rFonts w:ascii="Times New Roman" w:hAnsi="Times New Roman"/>
                <w:color w:val="000000"/>
                <w:sz w:val="28"/>
              </w:rPr>
              <w:t>2</w:t>
            </w:r>
          </w:p>
        </w:tc>
        <w:tc>
          <w:tcPr>
            <w:tcW w:type="dxa" w:w="2806"/>
            <w:tcBorders>
              <w:top w:sz="4" w:val="nil"/>
              <w:left w:sz="4" w:val="nil"/>
              <w:bottom w:color="000000" w:sz="4" w:val="single"/>
              <w:right w:color="000000" w:sz="4" w:val="single"/>
            </w:tcBorders>
            <w:shd w:fill="auto" w:val="clear"/>
            <w:vAlign w:val="bottom"/>
          </w:tcPr>
          <w:p w14:paraId="30000000">
            <w:pPr>
              <w:spacing w:after="0" w:line="240" w:lineRule="auto"/>
              <w:ind/>
              <w:rPr>
                <w:rFonts w:ascii="Times New Roman" w:hAnsi="Times New Roman"/>
                <w:color w:val="000000"/>
                <w:sz w:val="28"/>
              </w:rPr>
            </w:pPr>
            <w:r>
              <w:rPr>
                <w:rFonts w:ascii="Times New Roman" w:hAnsi="Times New Roman"/>
                <w:color w:val="000000"/>
                <w:sz w:val="28"/>
              </w:rPr>
              <w:t>Самозанятые</w:t>
            </w:r>
          </w:p>
        </w:tc>
        <w:tc>
          <w:tcPr>
            <w:tcW w:type="dxa" w:w="2024"/>
            <w:tcBorders>
              <w:top w:sz="4" w:val="nil"/>
              <w:left w:sz="4" w:val="nil"/>
              <w:bottom w:color="000000" w:sz="4" w:val="single"/>
              <w:right w:color="000000" w:sz="4" w:val="single"/>
            </w:tcBorders>
            <w:shd w:fill="auto" w:val="clear"/>
            <w:vAlign w:val="bottom"/>
          </w:tcPr>
          <w:p w14:paraId="31000000">
            <w:pPr>
              <w:spacing w:after="0" w:line="240" w:lineRule="auto"/>
              <w:ind/>
              <w:jc w:val="right"/>
              <w:rPr>
                <w:rFonts w:ascii="Times New Roman" w:hAnsi="Times New Roman"/>
                <w:color w:val="000000"/>
                <w:sz w:val="28"/>
              </w:rPr>
            </w:pPr>
            <w:r>
              <w:rPr>
                <w:rFonts w:ascii="Times New Roman" w:hAnsi="Times New Roman"/>
                <w:color w:val="000000"/>
                <w:sz w:val="28"/>
              </w:rPr>
              <w:t>1447</w:t>
            </w:r>
          </w:p>
        </w:tc>
        <w:tc>
          <w:tcPr>
            <w:tcW w:type="dxa" w:w="1992"/>
            <w:tcBorders>
              <w:top w:sz="4" w:val="nil"/>
              <w:left w:sz="4" w:val="nil"/>
              <w:bottom w:color="000000" w:sz="4" w:val="single"/>
              <w:right w:color="000000" w:sz="4" w:val="single"/>
            </w:tcBorders>
            <w:shd w:fill="auto" w:val="clear"/>
            <w:vAlign w:val="bottom"/>
          </w:tcPr>
          <w:p w14:paraId="32000000">
            <w:pPr>
              <w:spacing w:after="0" w:line="240" w:lineRule="auto"/>
              <w:ind/>
              <w:jc w:val="right"/>
              <w:rPr>
                <w:rFonts w:ascii="Times New Roman" w:hAnsi="Times New Roman"/>
                <w:color w:val="000000"/>
                <w:sz w:val="28"/>
              </w:rPr>
            </w:pPr>
            <w:r>
              <w:rPr>
                <w:rFonts w:ascii="Times New Roman" w:hAnsi="Times New Roman"/>
                <w:color w:val="000000"/>
                <w:sz w:val="28"/>
              </w:rPr>
              <w:t>3833</w:t>
            </w:r>
          </w:p>
        </w:tc>
        <w:tc>
          <w:tcPr>
            <w:tcW w:type="dxa" w:w="2250"/>
            <w:tcBorders>
              <w:top w:sz="4" w:val="nil"/>
              <w:left w:sz="4" w:val="nil"/>
              <w:bottom w:color="000000" w:sz="4" w:val="single"/>
              <w:right w:color="000000" w:sz="4" w:val="single"/>
            </w:tcBorders>
            <w:shd w:fill="auto" w:val="clear"/>
            <w:vAlign w:val="bottom"/>
          </w:tcPr>
          <w:p w14:paraId="33000000">
            <w:pPr>
              <w:spacing w:after="0" w:line="240" w:lineRule="auto"/>
              <w:ind/>
              <w:jc w:val="right"/>
              <w:rPr>
                <w:rFonts w:ascii="Times New Roman" w:hAnsi="Times New Roman"/>
                <w:color w:val="000000"/>
                <w:sz w:val="28"/>
              </w:rPr>
            </w:pPr>
            <w:r>
              <w:rPr>
                <w:rFonts w:ascii="Times New Roman" w:hAnsi="Times New Roman"/>
                <w:color w:val="000000"/>
                <w:sz w:val="28"/>
              </w:rPr>
              <w:t>264,89</w:t>
            </w:r>
          </w:p>
        </w:tc>
      </w:tr>
      <w:tr>
        <w:trPr>
          <w:trHeight w:hRule="atLeast" w:val="750"/>
        </w:trPr>
        <w:tc>
          <w:tcPr>
            <w:tcW w:type="dxa" w:w="709"/>
            <w:tcBorders>
              <w:top w:sz="4" w:val="nil"/>
              <w:left w:color="000000" w:sz="4" w:val="single"/>
              <w:bottom w:color="000000" w:sz="4" w:val="single"/>
              <w:right w:color="000000" w:sz="4" w:val="single"/>
            </w:tcBorders>
            <w:shd w:fill="auto" w:val="clear"/>
            <w:vAlign w:val="bottom"/>
          </w:tcPr>
          <w:p w14:paraId="34000000">
            <w:pPr>
              <w:spacing w:after="0" w:line="240" w:lineRule="auto"/>
              <w:ind/>
              <w:jc w:val="right"/>
              <w:rPr>
                <w:rFonts w:ascii="Times New Roman" w:hAnsi="Times New Roman"/>
                <w:color w:val="000000"/>
                <w:sz w:val="28"/>
              </w:rPr>
            </w:pPr>
            <w:r>
              <w:rPr>
                <w:rFonts w:ascii="Times New Roman" w:hAnsi="Times New Roman"/>
                <w:color w:val="000000"/>
                <w:sz w:val="28"/>
              </w:rPr>
              <w:t>3</w:t>
            </w:r>
          </w:p>
        </w:tc>
        <w:tc>
          <w:tcPr>
            <w:tcW w:type="dxa" w:w="2806"/>
            <w:tcBorders>
              <w:top w:sz="4" w:val="nil"/>
              <w:left w:sz="4" w:val="nil"/>
              <w:bottom w:color="000000" w:sz="4" w:val="single"/>
              <w:right w:sz="4" w:val="nil"/>
            </w:tcBorders>
            <w:shd w:fill="auto" w:val="clear"/>
            <w:vAlign w:val="bottom"/>
          </w:tcPr>
          <w:p w14:paraId="35000000">
            <w:pPr>
              <w:spacing w:after="0" w:line="240" w:lineRule="auto"/>
              <w:ind/>
              <w:rPr>
                <w:rFonts w:ascii="Times New Roman" w:hAnsi="Times New Roman"/>
                <w:color w:val="000000"/>
                <w:sz w:val="28"/>
              </w:rPr>
            </w:pPr>
            <w:r>
              <w:rPr>
                <w:rFonts w:ascii="Times New Roman" w:hAnsi="Times New Roman"/>
                <w:color w:val="000000"/>
                <w:sz w:val="28"/>
              </w:rPr>
              <w:t>Средние предприятия</w:t>
            </w:r>
          </w:p>
        </w:tc>
        <w:tc>
          <w:tcPr>
            <w:tcW w:type="dxa" w:w="2024"/>
            <w:tcBorders>
              <w:top w:sz="4" w:val="nil"/>
              <w:left w:color="000000" w:sz="4" w:val="single"/>
              <w:bottom w:color="000000" w:sz="4" w:val="single"/>
              <w:right w:color="000000" w:sz="4" w:val="single"/>
            </w:tcBorders>
            <w:shd w:fill="auto" w:val="clear"/>
            <w:vAlign w:val="bottom"/>
          </w:tcPr>
          <w:p w14:paraId="36000000">
            <w:pPr>
              <w:spacing w:after="0" w:line="240" w:lineRule="auto"/>
              <w:ind/>
              <w:jc w:val="right"/>
              <w:rPr>
                <w:rFonts w:ascii="Times New Roman" w:hAnsi="Times New Roman"/>
                <w:color w:val="000000"/>
                <w:sz w:val="28"/>
              </w:rPr>
            </w:pPr>
            <w:r>
              <w:rPr>
                <w:rFonts w:ascii="Times New Roman" w:hAnsi="Times New Roman"/>
                <w:color w:val="000000"/>
                <w:sz w:val="28"/>
              </w:rPr>
              <w:t>12</w:t>
            </w:r>
          </w:p>
        </w:tc>
        <w:tc>
          <w:tcPr>
            <w:tcW w:type="dxa" w:w="1992"/>
            <w:tcBorders>
              <w:top w:sz="4" w:val="nil"/>
              <w:left w:sz="4" w:val="nil"/>
              <w:bottom w:color="000000" w:sz="4" w:val="single"/>
              <w:right w:color="000000" w:sz="4" w:val="single"/>
            </w:tcBorders>
            <w:shd w:fill="auto" w:val="clear"/>
            <w:vAlign w:val="bottom"/>
          </w:tcPr>
          <w:p w14:paraId="37000000">
            <w:pPr>
              <w:spacing w:after="0" w:line="240" w:lineRule="auto"/>
              <w:ind/>
              <w:jc w:val="right"/>
              <w:rPr>
                <w:rFonts w:ascii="Times New Roman" w:hAnsi="Times New Roman"/>
                <w:color w:val="000000"/>
                <w:sz w:val="28"/>
              </w:rPr>
            </w:pPr>
            <w:r>
              <w:rPr>
                <w:rFonts w:ascii="Times New Roman" w:hAnsi="Times New Roman"/>
                <w:color w:val="000000"/>
                <w:sz w:val="28"/>
              </w:rPr>
              <w:t>11</w:t>
            </w:r>
          </w:p>
        </w:tc>
        <w:tc>
          <w:tcPr>
            <w:tcW w:type="dxa" w:w="2250"/>
            <w:tcBorders>
              <w:top w:sz="4" w:val="nil"/>
              <w:left w:sz="4" w:val="nil"/>
              <w:bottom w:color="000000" w:sz="4" w:val="single"/>
              <w:right w:color="000000" w:sz="4" w:val="single"/>
            </w:tcBorders>
            <w:shd w:fill="auto" w:val="clear"/>
            <w:vAlign w:val="bottom"/>
          </w:tcPr>
          <w:p w14:paraId="38000000">
            <w:pPr>
              <w:spacing w:after="0" w:line="240" w:lineRule="auto"/>
              <w:ind/>
              <w:jc w:val="right"/>
              <w:rPr>
                <w:rFonts w:ascii="Times New Roman" w:hAnsi="Times New Roman"/>
                <w:color w:val="000000"/>
                <w:sz w:val="28"/>
              </w:rPr>
            </w:pPr>
            <w:r>
              <w:rPr>
                <w:rFonts w:ascii="Times New Roman" w:hAnsi="Times New Roman"/>
                <w:color w:val="000000"/>
                <w:sz w:val="28"/>
              </w:rPr>
              <w:t>91,67</w:t>
            </w:r>
          </w:p>
        </w:tc>
      </w:tr>
      <w:tr>
        <w:trPr>
          <w:trHeight w:hRule="atLeast" w:val="750"/>
        </w:trPr>
        <w:tc>
          <w:tcPr>
            <w:tcW w:type="dxa" w:w="709"/>
            <w:tcBorders>
              <w:top w:sz="4" w:val="nil"/>
              <w:left w:color="000000" w:sz="4" w:val="single"/>
              <w:bottom w:sz="4" w:val="nil"/>
              <w:right w:color="000000" w:sz="4" w:val="single"/>
            </w:tcBorders>
            <w:shd w:fill="auto" w:val="clear"/>
            <w:vAlign w:val="bottom"/>
          </w:tcPr>
          <w:p w14:paraId="39000000">
            <w:pPr>
              <w:spacing w:after="0" w:line="240" w:lineRule="auto"/>
              <w:ind/>
              <w:jc w:val="right"/>
              <w:rPr>
                <w:rFonts w:ascii="Times New Roman" w:hAnsi="Times New Roman"/>
                <w:color w:val="000000"/>
                <w:sz w:val="28"/>
              </w:rPr>
            </w:pPr>
            <w:r>
              <w:rPr>
                <w:rFonts w:ascii="Times New Roman" w:hAnsi="Times New Roman"/>
                <w:color w:val="000000"/>
                <w:sz w:val="28"/>
              </w:rPr>
              <w:t>4</w:t>
            </w:r>
          </w:p>
        </w:tc>
        <w:tc>
          <w:tcPr>
            <w:tcW w:type="dxa" w:w="2806"/>
            <w:tcBorders>
              <w:top w:sz="4" w:val="nil"/>
              <w:left w:sz="4" w:val="nil"/>
              <w:bottom w:sz="4" w:val="nil"/>
              <w:right w:sz="4" w:val="nil"/>
            </w:tcBorders>
            <w:shd w:fill="auto" w:val="clear"/>
            <w:vAlign w:val="bottom"/>
          </w:tcPr>
          <w:p w14:paraId="3A000000">
            <w:pPr>
              <w:spacing w:after="0" w:line="240" w:lineRule="auto"/>
              <w:ind/>
              <w:rPr>
                <w:rFonts w:ascii="Times New Roman" w:hAnsi="Times New Roman"/>
                <w:color w:val="000000"/>
                <w:sz w:val="28"/>
              </w:rPr>
            </w:pPr>
            <w:r>
              <w:rPr>
                <w:rFonts w:ascii="Times New Roman" w:hAnsi="Times New Roman"/>
                <w:color w:val="000000"/>
                <w:sz w:val="28"/>
              </w:rPr>
              <w:t>Малые предприятия</w:t>
            </w:r>
          </w:p>
        </w:tc>
        <w:tc>
          <w:tcPr>
            <w:tcW w:type="dxa" w:w="2024"/>
            <w:tcBorders>
              <w:top w:sz="4" w:val="nil"/>
              <w:left w:color="000000" w:sz="4" w:val="single"/>
              <w:bottom w:color="000000" w:sz="4" w:val="single"/>
              <w:right w:color="000000" w:sz="4" w:val="single"/>
            </w:tcBorders>
            <w:shd w:fill="auto" w:val="clear"/>
            <w:vAlign w:val="bottom"/>
          </w:tcPr>
          <w:p w14:paraId="3B000000">
            <w:pPr>
              <w:spacing w:after="0" w:line="240" w:lineRule="auto"/>
              <w:ind/>
              <w:jc w:val="right"/>
              <w:rPr>
                <w:rFonts w:ascii="Times New Roman" w:hAnsi="Times New Roman"/>
                <w:color w:val="000000"/>
                <w:sz w:val="28"/>
              </w:rPr>
            </w:pPr>
            <w:r>
              <w:rPr>
                <w:rFonts w:ascii="Times New Roman" w:hAnsi="Times New Roman"/>
                <w:color w:val="000000"/>
                <w:sz w:val="28"/>
              </w:rPr>
              <w:t>205</w:t>
            </w:r>
          </w:p>
        </w:tc>
        <w:tc>
          <w:tcPr>
            <w:tcW w:type="dxa" w:w="1992"/>
            <w:tcBorders>
              <w:top w:sz="4" w:val="nil"/>
              <w:left w:sz="4" w:val="nil"/>
              <w:bottom w:color="000000" w:sz="4" w:val="single"/>
              <w:right w:color="000000" w:sz="4" w:val="single"/>
            </w:tcBorders>
            <w:shd w:fill="auto" w:val="clear"/>
            <w:vAlign w:val="bottom"/>
          </w:tcPr>
          <w:p w14:paraId="3C000000">
            <w:pPr>
              <w:spacing w:after="0" w:line="240" w:lineRule="auto"/>
              <w:ind/>
              <w:jc w:val="right"/>
              <w:rPr>
                <w:rFonts w:ascii="Times New Roman" w:hAnsi="Times New Roman"/>
                <w:color w:val="000000"/>
                <w:sz w:val="28"/>
              </w:rPr>
            </w:pPr>
            <w:r>
              <w:rPr>
                <w:rFonts w:ascii="Times New Roman" w:hAnsi="Times New Roman"/>
                <w:color w:val="000000"/>
                <w:sz w:val="28"/>
              </w:rPr>
              <w:t>198</w:t>
            </w:r>
          </w:p>
        </w:tc>
        <w:tc>
          <w:tcPr>
            <w:tcW w:type="dxa" w:w="2250"/>
            <w:tcBorders>
              <w:top w:sz="4" w:val="nil"/>
              <w:left w:sz="4" w:val="nil"/>
              <w:bottom w:color="000000" w:sz="4" w:val="single"/>
              <w:right w:color="000000" w:sz="4" w:val="single"/>
            </w:tcBorders>
            <w:shd w:fill="auto" w:val="clear"/>
            <w:vAlign w:val="bottom"/>
          </w:tcPr>
          <w:p w14:paraId="3D000000">
            <w:pPr>
              <w:spacing w:after="0" w:line="240" w:lineRule="auto"/>
              <w:ind/>
              <w:jc w:val="right"/>
              <w:rPr>
                <w:rFonts w:ascii="Times New Roman" w:hAnsi="Times New Roman"/>
                <w:color w:val="000000"/>
                <w:sz w:val="28"/>
              </w:rPr>
            </w:pPr>
            <w:r>
              <w:rPr>
                <w:rFonts w:ascii="Times New Roman" w:hAnsi="Times New Roman"/>
                <w:color w:val="000000"/>
                <w:sz w:val="28"/>
              </w:rPr>
              <w:t>96,59</w:t>
            </w:r>
          </w:p>
        </w:tc>
      </w:tr>
      <w:tr>
        <w:trPr>
          <w:trHeight w:hRule="atLeast" w:val="750"/>
        </w:trPr>
        <w:tc>
          <w:tcPr>
            <w:tcW w:type="dxa" w:w="709"/>
            <w:tcBorders>
              <w:top w:color="000000" w:sz="4" w:val="single"/>
              <w:left w:color="000000" w:sz="4" w:val="single"/>
              <w:bottom w:color="000000" w:sz="4" w:val="single"/>
              <w:right w:color="000000" w:sz="4" w:val="single"/>
            </w:tcBorders>
            <w:shd w:fill="auto" w:val="clear"/>
            <w:vAlign w:val="bottom"/>
          </w:tcPr>
          <w:p w14:paraId="3E000000">
            <w:pPr>
              <w:spacing w:after="0" w:line="240" w:lineRule="auto"/>
              <w:ind/>
              <w:jc w:val="right"/>
              <w:rPr>
                <w:rFonts w:ascii="Times New Roman" w:hAnsi="Times New Roman"/>
                <w:color w:val="000000"/>
                <w:sz w:val="28"/>
              </w:rPr>
            </w:pPr>
            <w:r>
              <w:rPr>
                <w:rFonts w:ascii="Times New Roman" w:hAnsi="Times New Roman"/>
                <w:color w:val="000000"/>
                <w:sz w:val="28"/>
              </w:rPr>
              <w:t>5</w:t>
            </w:r>
          </w:p>
        </w:tc>
        <w:tc>
          <w:tcPr>
            <w:tcW w:type="dxa" w:w="2806"/>
            <w:tcBorders>
              <w:top w:color="000000" w:sz="4" w:val="single"/>
              <w:left w:sz="4" w:val="nil"/>
              <w:bottom w:color="000000" w:sz="4" w:val="single"/>
              <w:right w:sz="4" w:val="nil"/>
            </w:tcBorders>
            <w:shd w:fill="auto" w:val="clear"/>
            <w:vAlign w:val="bottom"/>
          </w:tcPr>
          <w:p w14:paraId="3F000000">
            <w:pPr>
              <w:spacing w:after="0" w:line="240" w:lineRule="auto"/>
              <w:ind/>
              <w:rPr>
                <w:rFonts w:ascii="Times New Roman" w:hAnsi="Times New Roman"/>
                <w:color w:val="000000"/>
                <w:sz w:val="28"/>
              </w:rPr>
            </w:pPr>
            <w:r>
              <w:rPr>
                <w:rFonts w:ascii="Times New Roman" w:hAnsi="Times New Roman"/>
                <w:color w:val="000000"/>
                <w:sz w:val="28"/>
              </w:rPr>
              <w:t>Микро предприятия</w:t>
            </w:r>
          </w:p>
        </w:tc>
        <w:tc>
          <w:tcPr>
            <w:tcW w:type="dxa" w:w="2024"/>
            <w:tcBorders>
              <w:top w:sz="4" w:val="nil"/>
              <w:left w:color="000000" w:sz="4" w:val="single"/>
              <w:bottom w:color="000000" w:sz="4" w:val="single"/>
              <w:right w:color="000000" w:sz="4" w:val="single"/>
            </w:tcBorders>
            <w:shd w:fill="auto" w:val="clear"/>
            <w:vAlign w:val="bottom"/>
          </w:tcPr>
          <w:p w14:paraId="40000000">
            <w:pPr>
              <w:spacing w:after="0" w:line="240" w:lineRule="auto"/>
              <w:ind/>
              <w:jc w:val="right"/>
              <w:rPr>
                <w:rFonts w:ascii="Times New Roman" w:hAnsi="Times New Roman"/>
                <w:color w:val="000000"/>
                <w:sz w:val="28"/>
              </w:rPr>
            </w:pPr>
            <w:r>
              <w:rPr>
                <w:rFonts w:ascii="Times New Roman" w:hAnsi="Times New Roman"/>
                <w:color w:val="000000"/>
                <w:sz w:val="28"/>
              </w:rPr>
              <w:t>1625</w:t>
            </w:r>
          </w:p>
        </w:tc>
        <w:tc>
          <w:tcPr>
            <w:tcW w:type="dxa" w:w="1992"/>
            <w:tcBorders>
              <w:top w:sz="4" w:val="nil"/>
              <w:left w:sz="4" w:val="nil"/>
              <w:bottom w:color="000000" w:sz="4" w:val="single"/>
              <w:right w:color="000000" w:sz="4" w:val="single"/>
            </w:tcBorders>
            <w:shd w:fill="auto" w:val="clear"/>
            <w:vAlign w:val="bottom"/>
          </w:tcPr>
          <w:p w14:paraId="41000000">
            <w:pPr>
              <w:spacing w:after="0" w:line="240" w:lineRule="auto"/>
              <w:ind/>
              <w:jc w:val="right"/>
              <w:rPr>
                <w:rFonts w:ascii="Times New Roman" w:hAnsi="Times New Roman"/>
                <w:color w:val="000000"/>
                <w:sz w:val="28"/>
              </w:rPr>
            </w:pPr>
            <w:r>
              <w:rPr>
                <w:rFonts w:ascii="Times New Roman" w:hAnsi="Times New Roman"/>
                <w:color w:val="000000"/>
                <w:sz w:val="28"/>
              </w:rPr>
              <w:t>1552</w:t>
            </w:r>
          </w:p>
        </w:tc>
        <w:tc>
          <w:tcPr>
            <w:tcW w:type="dxa" w:w="2250"/>
            <w:tcBorders>
              <w:top w:sz="4" w:val="nil"/>
              <w:left w:sz="4" w:val="nil"/>
              <w:bottom w:color="000000" w:sz="4" w:val="single"/>
              <w:right w:color="000000" w:sz="4" w:val="single"/>
            </w:tcBorders>
            <w:shd w:fill="auto" w:val="clear"/>
            <w:vAlign w:val="bottom"/>
          </w:tcPr>
          <w:p w14:paraId="42000000">
            <w:pPr>
              <w:spacing w:after="0" w:line="240" w:lineRule="auto"/>
              <w:ind/>
              <w:jc w:val="right"/>
              <w:rPr>
                <w:rFonts w:ascii="Times New Roman" w:hAnsi="Times New Roman"/>
                <w:color w:val="000000"/>
                <w:sz w:val="28"/>
              </w:rPr>
            </w:pPr>
            <w:r>
              <w:rPr>
                <w:rFonts w:ascii="Times New Roman" w:hAnsi="Times New Roman"/>
                <w:color w:val="000000"/>
                <w:sz w:val="28"/>
              </w:rPr>
              <w:t>95,51</w:t>
            </w:r>
          </w:p>
        </w:tc>
      </w:tr>
      <w:tr>
        <w:trPr>
          <w:trHeight w:hRule="atLeast" w:val="750"/>
        </w:trPr>
        <w:tc>
          <w:tcPr>
            <w:tcW w:type="dxa" w:w="709"/>
            <w:tcBorders>
              <w:top w:sz="4" w:val="nil"/>
              <w:left w:color="000000" w:sz="4" w:val="single"/>
              <w:bottom w:sz="4" w:val="nil"/>
              <w:right w:color="000000" w:sz="4" w:val="single"/>
            </w:tcBorders>
            <w:shd w:fill="auto" w:val="clear"/>
            <w:vAlign w:val="bottom"/>
          </w:tcPr>
          <w:p w14:paraId="43000000">
            <w:pPr>
              <w:spacing w:after="0" w:line="240" w:lineRule="auto"/>
              <w:ind/>
              <w:jc w:val="right"/>
              <w:rPr>
                <w:rFonts w:ascii="Times New Roman" w:hAnsi="Times New Roman"/>
                <w:color w:val="000000"/>
                <w:sz w:val="28"/>
              </w:rPr>
            </w:pPr>
            <w:r>
              <w:rPr>
                <w:rFonts w:ascii="Times New Roman" w:hAnsi="Times New Roman"/>
                <w:color w:val="000000"/>
                <w:sz w:val="28"/>
              </w:rPr>
              <w:t>6</w:t>
            </w:r>
          </w:p>
        </w:tc>
        <w:tc>
          <w:tcPr>
            <w:tcW w:type="dxa" w:w="2806"/>
            <w:tcBorders>
              <w:top w:sz="4" w:val="nil"/>
              <w:left w:sz="4" w:val="nil"/>
              <w:bottom w:sz="4" w:val="nil"/>
              <w:right w:sz="4" w:val="nil"/>
            </w:tcBorders>
            <w:shd w:fill="auto" w:val="clear"/>
            <w:vAlign w:val="bottom"/>
          </w:tcPr>
          <w:p w14:paraId="44000000">
            <w:pPr>
              <w:spacing w:after="0" w:line="240" w:lineRule="auto"/>
              <w:ind/>
              <w:rPr>
                <w:rFonts w:ascii="Times New Roman" w:hAnsi="Times New Roman"/>
                <w:color w:val="000000"/>
                <w:sz w:val="28"/>
              </w:rPr>
            </w:pPr>
            <w:r>
              <w:rPr>
                <w:rFonts w:ascii="Times New Roman" w:hAnsi="Times New Roman"/>
                <w:color w:val="000000"/>
                <w:sz w:val="28"/>
              </w:rPr>
              <w:t>Индивидуальные предприниматели</w:t>
            </w:r>
          </w:p>
        </w:tc>
        <w:tc>
          <w:tcPr>
            <w:tcW w:type="dxa" w:w="2024"/>
            <w:tcBorders>
              <w:top w:sz="4" w:val="nil"/>
              <w:left w:color="000000" w:sz="4" w:val="single"/>
              <w:bottom w:color="000000" w:sz="4" w:val="single"/>
              <w:right w:color="000000" w:sz="4" w:val="single"/>
            </w:tcBorders>
            <w:shd w:fill="auto" w:val="clear"/>
            <w:vAlign w:val="bottom"/>
          </w:tcPr>
          <w:p w14:paraId="45000000">
            <w:pPr>
              <w:spacing w:after="0" w:line="240" w:lineRule="auto"/>
              <w:ind/>
              <w:jc w:val="right"/>
              <w:rPr>
                <w:rFonts w:ascii="Times New Roman" w:hAnsi="Times New Roman"/>
                <w:color w:val="000000"/>
                <w:sz w:val="28"/>
              </w:rPr>
            </w:pPr>
            <w:r>
              <w:rPr>
                <w:rFonts w:ascii="Times New Roman" w:hAnsi="Times New Roman"/>
                <w:color w:val="000000"/>
                <w:sz w:val="28"/>
              </w:rPr>
              <w:t>4534</w:t>
            </w:r>
          </w:p>
        </w:tc>
        <w:tc>
          <w:tcPr>
            <w:tcW w:type="dxa" w:w="1992"/>
            <w:tcBorders>
              <w:top w:sz="4" w:val="nil"/>
              <w:left w:sz="4" w:val="nil"/>
              <w:bottom w:color="000000" w:sz="4" w:val="single"/>
              <w:right w:color="000000" w:sz="4" w:val="single"/>
            </w:tcBorders>
            <w:shd w:fill="auto" w:val="clear"/>
            <w:vAlign w:val="bottom"/>
          </w:tcPr>
          <w:p w14:paraId="46000000">
            <w:pPr>
              <w:spacing w:after="0" w:line="240" w:lineRule="auto"/>
              <w:ind/>
              <w:jc w:val="right"/>
              <w:rPr>
                <w:rFonts w:ascii="Times New Roman" w:hAnsi="Times New Roman"/>
                <w:color w:val="000000"/>
                <w:sz w:val="28"/>
              </w:rPr>
            </w:pPr>
            <w:r>
              <w:rPr>
                <w:rFonts w:ascii="Times New Roman" w:hAnsi="Times New Roman"/>
                <w:color w:val="000000"/>
                <w:sz w:val="28"/>
              </w:rPr>
              <w:t>4715</w:t>
            </w:r>
          </w:p>
        </w:tc>
        <w:tc>
          <w:tcPr>
            <w:tcW w:type="dxa" w:w="2250"/>
            <w:tcBorders>
              <w:top w:sz="4" w:val="nil"/>
              <w:left w:sz="4" w:val="nil"/>
              <w:bottom w:color="000000" w:sz="4" w:val="single"/>
              <w:right w:color="000000" w:sz="4" w:val="single"/>
            </w:tcBorders>
            <w:shd w:fill="auto" w:val="clear"/>
            <w:vAlign w:val="bottom"/>
          </w:tcPr>
          <w:p w14:paraId="47000000">
            <w:pPr>
              <w:spacing w:after="0" w:line="240" w:lineRule="auto"/>
              <w:ind/>
              <w:jc w:val="right"/>
              <w:rPr>
                <w:rFonts w:ascii="Times New Roman" w:hAnsi="Times New Roman"/>
                <w:color w:val="000000"/>
                <w:sz w:val="28"/>
              </w:rPr>
            </w:pPr>
            <w:r>
              <w:rPr>
                <w:rFonts w:ascii="Times New Roman" w:hAnsi="Times New Roman"/>
                <w:color w:val="000000"/>
                <w:sz w:val="28"/>
              </w:rPr>
              <w:t>103,99</w:t>
            </w:r>
          </w:p>
        </w:tc>
      </w:tr>
      <w:tr>
        <w:trPr>
          <w:trHeight w:hRule="atLeast" w:val="1125"/>
        </w:trPr>
        <w:tc>
          <w:tcPr>
            <w:tcW w:type="dxa" w:w="709"/>
            <w:tcBorders>
              <w:top w:color="000000" w:sz="4" w:val="single"/>
              <w:left w:color="000000" w:sz="4" w:val="single"/>
              <w:bottom w:color="000000" w:sz="4" w:val="single"/>
              <w:right w:color="000000" w:sz="4" w:val="single"/>
            </w:tcBorders>
            <w:shd w:fill="FFFFFF" w:val="clear"/>
            <w:vAlign w:val="bottom"/>
          </w:tcPr>
          <w:p w14:paraId="48000000">
            <w:pPr>
              <w:spacing w:after="0" w:line="240" w:lineRule="auto"/>
              <w:ind/>
              <w:jc w:val="right"/>
              <w:rPr>
                <w:rFonts w:ascii="Times New Roman" w:hAnsi="Times New Roman"/>
                <w:color w:val="000000"/>
                <w:sz w:val="28"/>
              </w:rPr>
            </w:pPr>
            <w:r>
              <w:rPr>
                <w:rFonts w:ascii="Times New Roman" w:hAnsi="Times New Roman"/>
                <w:color w:val="000000"/>
                <w:sz w:val="28"/>
              </w:rPr>
              <w:t>7</w:t>
            </w:r>
          </w:p>
        </w:tc>
        <w:tc>
          <w:tcPr>
            <w:tcW w:type="dxa" w:w="2806"/>
            <w:tcBorders>
              <w:top w:color="000000" w:sz="4" w:val="single"/>
              <w:left w:sz="4" w:val="nil"/>
              <w:bottom w:color="000000" w:sz="4" w:val="single"/>
              <w:right w:sz="4" w:val="nil"/>
            </w:tcBorders>
            <w:shd w:fill="FFFFFF" w:val="clear"/>
            <w:vAlign w:val="bottom"/>
          </w:tcPr>
          <w:p w14:paraId="49000000">
            <w:pPr>
              <w:spacing w:after="0" w:line="240" w:lineRule="auto"/>
              <w:ind/>
              <w:rPr>
                <w:rFonts w:ascii="Times New Roman" w:hAnsi="Times New Roman"/>
                <w:color w:val="000000"/>
                <w:sz w:val="28"/>
              </w:rPr>
            </w:pPr>
            <w:r>
              <w:rPr>
                <w:rFonts w:ascii="Times New Roman" w:hAnsi="Times New Roman"/>
                <w:color w:val="000000"/>
                <w:sz w:val="28"/>
              </w:rPr>
              <w:t>Всего субъекты экономической деятельности</w:t>
            </w:r>
          </w:p>
        </w:tc>
        <w:tc>
          <w:tcPr>
            <w:tcW w:type="dxa" w:w="2024"/>
            <w:tcBorders>
              <w:top w:sz="4" w:val="nil"/>
              <w:left w:color="000000" w:sz="4" w:val="single"/>
              <w:bottom w:color="000000" w:sz="4" w:val="single"/>
              <w:right w:color="000000" w:sz="4" w:val="single"/>
            </w:tcBorders>
            <w:shd w:fill="FFFFFF" w:val="clear"/>
            <w:vAlign w:val="bottom"/>
          </w:tcPr>
          <w:p w14:paraId="4A000000">
            <w:pPr>
              <w:spacing w:after="0" w:line="240" w:lineRule="auto"/>
              <w:ind/>
              <w:jc w:val="right"/>
              <w:rPr>
                <w:rFonts w:ascii="Times New Roman" w:hAnsi="Times New Roman"/>
                <w:color w:val="000000"/>
                <w:sz w:val="28"/>
              </w:rPr>
            </w:pPr>
            <w:r>
              <w:rPr>
                <w:rFonts w:ascii="Times New Roman" w:hAnsi="Times New Roman"/>
                <w:color w:val="000000"/>
                <w:sz w:val="28"/>
              </w:rPr>
              <w:t>7823</w:t>
            </w:r>
          </w:p>
        </w:tc>
        <w:tc>
          <w:tcPr>
            <w:tcW w:type="dxa" w:w="1992"/>
            <w:tcBorders>
              <w:top w:sz="4" w:val="nil"/>
              <w:left w:sz="4" w:val="nil"/>
              <w:bottom w:color="000000" w:sz="4" w:val="single"/>
              <w:right w:color="000000" w:sz="4" w:val="single"/>
            </w:tcBorders>
            <w:shd w:fill="FFFFFF" w:val="clear"/>
            <w:vAlign w:val="bottom"/>
          </w:tcPr>
          <w:p w14:paraId="4B000000">
            <w:pPr>
              <w:spacing w:after="0" w:line="240" w:lineRule="auto"/>
              <w:ind/>
              <w:jc w:val="right"/>
              <w:rPr>
                <w:rFonts w:ascii="Times New Roman" w:hAnsi="Times New Roman"/>
                <w:color w:val="000000"/>
                <w:sz w:val="28"/>
              </w:rPr>
            </w:pPr>
            <w:r>
              <w:rPr>
                <w:rFonts w:ascii="Times New Roman" w:hAnsi="Times New Roman"/>
                <w:color w:val="000000"/>
                <w:sz w:val="28"/>
              </w:rPr>
              <w:t>10309</w:t>
            </w:r>
          </w:p>
        </w:tc>
        <w:tc>
          <w:tcPr>
            <w:tcW w:type="dxa" w:w="2250"/>
            <w:tcBorders>
              <w:top w:sz="4" w:val="nil"/>
              <w:left w:sz="4" w:val="nil"/>
              <w:bottom w:color="000000" w:sz="4" w:val="single"/>
              <w:right w:color="000000" w:sz="4" w:val="single"/>
            </w:tcBorders>
            <w:shd w:fill="auto" w:val="clear"/>
            <w:vAlign w:val="bottom"/>
          </w:tcPr>
          <w:p w14:paraId="4C000000">
            <w:pPr>
              <w:spacing w:after="0" w:line="240" w:lineRule="auto"/>
              <w:ind/>
              <w:jc w:val="right"/>
              <w:rPr>
                <w:rFonts w:ascii="Times New Roman" w:hAnsi="Times New Roman"/>
                <w:color w:val="000000"/>
                <w:sz w:val="28"/>
              </w:rPr>
            </w:pPr>
            <w:r>
              <w:rPr>
                <w:rFonts w:ascii="Times New Roman" w:hAnsi="Times New Roman"/>
                <w:color w:val="000000"/>
                <w:sz w:val="28"/>
              </w:rPr>
              <w:t>131,78</w:t>
            </w:r>
          </w:p>
        </w:tc>
      </w:tr>
    </w:tbl>
    <w:p w14:paraId="4D000000">
      <w:pPr>
        <w:pStyle w:val="Style_3"/>
        <w:spacing w:after="0" w:before="0" w:line="276" w:lineRule="auto"/>
        <w:ind w:firstLine="709" w:left="0"/>
        <w:jc w:val="both"/>
        <w:rPr>
          <w:sz w:val="28"/>
        </w:rPr>
      </w:pPr>
      <w:r>
        <w:rPr>
          <w:sz w:val="28"/>
        </w:rPr>
        <w:t xml:space="preserve">С переходом значительного количества индивидуальных предпринимателей в </w:t>
      </w:r>
      <w:r>
        <w:rPr>
          <w:sz w:val="28"/>
        </w:rPr>
        <w:t>число самозанятых</w:t>
      </w:r>
      <w:r>
        <w:rPr>
          <w:sz w:val="28"/>
        </w:rPr>
        <w:t xml:space="preserve">, </w:t>
      </w:r>
      <w:r>
        <w:rPr>
          <w:sz w:val="28"/>
        </w:rPr>
        <w:t xml:space="preserve">потенциал </w:t>
      </w:r>
      <w:r>
        <w:rPr>
          <w:sz w:val="28"/>
        </w:rPr>
        <w:t>наполнени</w:t>
      </w:r>
      <w:r>
        <w:rPr>
          <w:sz w:val="28"/>
        </w:rPr>
        <w:t>я</w:t>
      </w:r>
      <w:r>
        <w:rPr>
          <w:sz w:val="28"/>
        </w:rPr>
        <w:t xml:space="preserve"> муниципального бюджета </w:t>
      </w:r>
      <w:r>
        <w:rPr>
          <w:sz w:val="28"/>
        </w:rPr>
        <w:t xml:space="preserve">города Волгодонска </w:t>
      </w:r>
      <w:r>
        <w:rPr>
          <w:sz w:val="28"/>
        </w:rPr>
        <w:t>существенно снижается</w:t>
      </w:r>
      <w:r>
        <w:rPr>
          <w:sz w:val="28"/>
        </w:rPr>
        <w:t>.</w:t>
      </w:r>
    </w:p>
    <w:p w14:paraId="4E000000">
      <w:pPr>
        <w:pStyle w:val="Style_3"/>
        <w:spacing w:after="0" w:before="0" w:line="276" w:lineRule="auto"/>
        <w:ind w:firstLine="709" w:left="0"/>
        <w:jc w:val="both"/>
        <w:rPr>
          <w:sz w:val="28"/>
        </w:rPr>
      </w:pPr>
    </w:p>
    <w:p w14:paraId="4F000000">
      <w:pPr>
        <w:pStyle w:val="Style_3"/>
        <w:spacing w:after="0" w:before="0" w:line="276" w:lineRule="auto"/>
        <w:ind w:firstLine="709" w:left="0"/>
        <w:jc w:val="both"/>
        <w:rPr>
          <w:sz w:val="28"/>
        </w:rPr>
      </w:pPr>
      <w:r>
        <w:rPr>
          <w:sz w:val="28"/>
        </w:rPr>
        <w:t xml:space="preserve">Согласно информации, предоставленной органом государственной статистики </w:t>
      </w:r>
      <w:r>
        <w:rPr>
          <w:sz w:val="28"/>
        </w:rPr>
        <w:t>Ростовской области по городу Волгодонску, уровень социально-экономического развития в 2021 году в сравнении с 2020 со</w:t>
      </w:r>
      <w:r>
        <w:rPr>
          <w:sz w:val="28"/>
        </w:rPr>
        <w:t>хранил положительную динамику по всем основным направлениям.</w:t>
      </w:r>
    </w:p>
    <w:p w14:paraId="50000000">
      <w:pPr>
        <w:pStyle w:val="Style_3"/>
        <w:spacing w:after="0" w:before="0" w:line="276" w:lineRule="auto"/>
        <w:ind w:firstLine="709" w:left="0"/>
        <w:jc w:val="center"/>
        <w:rPr>
          <w:sz w:val="28"/>
        </w:rPr>
      </w:pPr>
      <w:r>
        <w:rPr>
          <w:sz w:val="28"/>
        </w:rPr>
        <w:t>Основные показатели</w:t>
      </w:r>
      <w:r>
        <w:rPr>
          <w:sz w:val="28"/>
        </w:rPr>
        <w:t xml:space="preserve"> </w:t>
      </w:r>
      <w:r>
        <w:rPr>
          <w:sz w:val="28"/>
        </w:rPr>
        <w:t>социально-экономического развития Волгодонска</w:t>
      </w:r>
      <w:r>
        <w:rPr>
          <w:sz w:val="28"/>
        </w:rPr>
        <w:t xml:space="preserve"> </w:t>
      </w:r>
      <w:r>
        <w:rPr>
          <w:sz w:val="28"/>
        </w:rPr>
        <w:t>за 2021 год</w:t>
      </w:r>
    </w:p>
    <w:tbl>
      <w:tblPr>
        <w:tblStyle w:val="Style_4"/>
        <w:tblLayout w:type="fixed"/>
      </w:tblPr>
      <w:tblGrid>
        <w:gridCol w:w="5388"/>
        <w:gridCol w:w="1559"/>
        <w:gridCol w:w="1559"/>
        <w:gridCol w:w="1808"/>
      </w:tblGrid>
      <w:tr>
        <w:trPr>
          <w:trHeight w:hRule="atLeast" w:val="1101"/>
        </w:trPr>
        <w:tc>
          <w:tcPr>
            <w:tcW w:type="dxa" w:w="5388"/>
            <w:tcBorders>
              <w:top w:color="000000" w:sz="8" w:val="single"/>
              <w:left w:color="000000" w:sz="8" w:val="single"/>
              <w:bottom w:color="000000" w:sz="8" w:val="single"/>
              <w:right w:color="000000" w:sz="8" w:val="single"/>
            </w:tcBorders>
            <w:shd w:fill="auto" w:val="clear"/>
            <w:vAlign w:val="center"/>
          </w:tcPr>
          <w:p w14:paraId="51000000">
            <w:pPr>
              <w:pStyle w:val="Style_3"/>
              <w:spacing w:after="0" w:before="0" w:line="276" w:lineRule="auto"/>
              <w:ind w:firstLine="709" w:left="0"/>
              <w:jc w:val="center"/>
              <w:rPr>
                <w:b w:val="1"/>
                <w:sz w:val="28"/>
              </w:rPr>
            </w:pPr>
            <w:r>
              <w:rPr>
                <w:b w:val="1"/>
                <w:sz w:val="28"/>
              </w:rPr>
              <w:t>Показатель</w:t>
            </w:r>
          </w:p>
        </w:tc>
        <w:tc>
          <w:tcPr>
            <w:tcW w:type="dxa" w:w="1559"/>
            <w:tcBorders>
              <w:top w:color="000000" w:sz="8" w:val="single"/>
              <w:left w:sz="4" w:val="nil"/>
              <w:bottom w:color="000000" w:sz="8" w:val="single"/>
              <w:right w:color="000000" w:sz="8" w:val="single"/>
            </w:tcBorders>
            <w:shd w:fill="auto" w:val="clear"/>
            <w:vAlign w:val="center"/>
          </w:tcPr>
          <w:p w14:paraId="52000000">
            <w:pPr>
              <w:pStyle w:val="Style_3"/>
              <w:spacing w:after="0" w:before="0" w:line="276" w:lineRule="auto"/>
              <w:ind/>
              <w:jc w:val="center"/>
              <w:rPr>
                <w:b w:val="1"/>
                <w:sz w:val="28"/>
              </w:rPr>
            </w:pPr>
            <w:r>
              <w:rPr>
                <w:b w:val="1"/>
                <w:sz w:val="28"/>
              </w:rPr>
              <w:t>2021</w:t>
            </w:r>
          </w:p>
        </w:tc>
        <w:tc>
          <w:tcPr>
            <w:tcW w:type="dxa" w:w="1559"/>
            <w:tcBorders>
              <w:top w:color="000000" w:sz="8" w:val="single"/>
              <w:left w:sz="4" w:val="nil"/>
              <w:bottom w:color="000000" w:sz="8" w:val="single"/>
              <w:right w:color="000000" w:sz="8" w:val="single"/>
            </w:tcBorders>
            <w:shd w:fill="auto" w:val="clear"/>
            <w:vAlign w:val="center"/>
          </w:tcPr>
          <w:p w14:paraId="53000000">
            <w:pPr>
              <w:pStyle w:val="Style_3"/>
              <w:spacing w:after="0" w:before="0" w:line="276" w:lineRule="auto"/>
              <w:ind/>
              <w:jc w:val="center"/>
              <w:rPr>
                <w:b w:val="1"/>
                <w:sz w:val="28"/>
              </w:rPr>
            </w:pPr>
            <w:r>
              <w:rPr>
                <w:b w:val="1"/>
                <w:sz w:val="28"/>
              </w:rPr>
              <w:t>2020</w:t>
            </w:r>
          </w:p>
        </w:tc>
        <w:tc>
          <w:tcPr>
            <w:tcW w:type="dxa" w:w="1808"/>
            <w:tcBorders>
              <w:top w:color="000000" w:sz="8" w:val="single"/>
              <w:left w:sz="4" w:val="nil"/>
              <w:bottom w:color="000000" w:sz="8" w:val="single"/>
              <w:right w:color="000000" w:sz="8" w:val="single"/>
            </w:tcBorders>
            <w:shd w:fill="auto" w:val="clear"/>
            <w:vAlign w:val="center"/>
          </w:tcPr>
          <w:p w14:paraId="54000000">
            <w:pPr>
              <w:pStyle w:val="Style_3"/>
              <w:spacing w:after="0" w:before="0" w:line="276" w:lineRule="auto"/>
              <w:ind/>
              <w:rPr>
                <w:b w:val="1"/>
                <w:sz w:val="28"/>
              </w:rPr>
            </w:pPr>
            <w:r>
              <w:rPr>
                <w:b w:val="1"/>
                <w:sz w:val="28"/>
              </w:rPr>
              <w:t>Темп роста (снижения), %</w:t>
            </w:r>
          </w:p>
        </w:tc>
      </w:tr>
      <w:tr>
        <w:trPr>
          <w:trHeight w:hRule="atLeast" w:val="360"/>
        </w:trPr>
        <w:tc>
          <w:tcPr>
            <w:tcW w:type="dxa" w:w="5388"/>
            <w:tcBorders>
              <w:top w:sz="4" w:val="nil"/>
              <w:left w:color="000000" w:sz="8" w:val="single"/>
              <w:bottom w:color="000000" w:sz="8" w:val="single"/>
              <w:right w:color="000000" w:sz="8" w:val="single"/>
            </w:tcBorders>
            <w:shd w:fill="auto" w:val="clear"/>
          </w:tcPr>
          <w:p w14:paraId="55000000">
            <w:pPr>
              <w:pStyle w:val="Style_3"/>
              <w:spacing w:after="0" w:before="0" w:line="276" w:lineRule="auto"/>
              <w:ind/>
              <w:rPr>
                <w:b w:val="1"/>
                <w:sz w:val="28"/>
              </w:rPr>
            </w:pPr>
            <w:r>
              <w:rPr>
                <w:b w:val="1"/>
                <w:sz w:val="28"/>
              </w:rPr>
              <w:t>Промышленность (январь-ноябрь)</w:t>
            </w:r>
          </w:p>
        </w:tc>
        <w:tc>
          <w:tcPr>
            <w:tcW w:type="dxa" w:w="1559"/>
            <w:tcBorders>
              <w:top w:sz="4" w:val="nil"/>
              <w:left w:sz="4" w:val="nil"/>
              <w:bottom w:color="000000" w:sz="8" w:val="single"/>
              <w:right w:color="000000" w:sz="8" w:val="single"/>
            </w:tcBorders>
            <w:shd w:fill="auto" w:val="clear"/>
            <w:vAlign w:val="bottom"/>
          </w:tcPr>
          <w:p w14:paraId="56000000">
            <w:pPr>
              <w:pStyle w:val="Style_3"/>
              <w:spacing w:after="0" w:before="0" w:line="276" w:lineRule="auto"/>
              <w:ind w:firstLine="709" w:left="0"/>
              <w:rPr>
                <w:b w:val="1"/>
                <w:sz w:val="28"/>
              </w:rPr>
            </w:pPr>
          </w:p>
        </w:tc>
        <w:tc>
          <w:tcPr>
            <w:tcW w:type="dxa" w:w="1559"/>
            <w:tcBorders>
              <w:top w:sz="4" w:val="nil"/>
              <w:left w:sz="4" w:val="nil"/>
              <w:bottom w:color="000000" w:sz="8" w:val="single"/>
              <w:right w:color="000000" w:sz="8" w:val="single"/>
            </w:tcBorders>
            <w:shd w:fill="auto" w:val="clear"/>
            <w:vAlign w:val="bottom"/>
          </w:tcPr>
          <w:p w14:paraId="57000000">
            <w:pPr>
              <w:pStyle w:val="Style_3"/>
              <w:spacing w:after="0" w:before="0" w:line="276" w:lineRule="auto"/>
              <w:ind w:firstLine="709" w:left="0"/>
              <w:rPr>
                <w:b w:val="1"/>
                <w:sz w:val="28"/>
              </w:rPr>
            </w:pPr>
          </w:p>
        </w:tc>
        <w:tc>
          <w:tcPr>
            <w:tcW w:type="dxa" w:w="1808"/>
            <w:tcBorders>
              <w:top w:sz="4" w:val="nil"/>
              <w:left w:sz="4" w:val="nil"/>
              <w:bottom w:color="000000" w:sz="8" w:val="single"/>
              <w:right w:color="000000" w:sz="8" w:val="single"/>
            </w:tcBorders>
            <w:shd w:fill="auto" w:val="clear"/>
            <w:vAlign w:val="bottom"/>
          </w:tcPr>
          <w:p w14:paraId="58000000">
            <w:pPr>
              <w:pStyle w:val="Style_3"/>
              <w:spacing w:after="0" w:before="0" w:line="276" w:lineRule="auto"/>
              <w:ind w:firstLine="709" w:left="0"/>
              <w:rPr>
                <w:b w:val="1"/>
                <w:sz w:val="28"/>
              </w:rPr>
            </w:pPr>
          </w:p>
        </w:tc>
      </w:tr>
      <w:tr>
        <w:trPr>
          <w:trHeight w:hRule="atLeast" w:val="882"/>
        </w:trPr>
        <w:tc>
          <w:tcPr>
            <w:tcW w:type="dxa" w:w="5388"/>
            <w:tcBorders>
              <w:top w:sz="4" w:val="nil"/>
              <w:left w:color="000000" w:sz="8" w:val="single"/>
              <w:bottom w:color="000000" w:sz="8" w:val="single"/>
              <w:right w:color="000000" w:sz="8" w:val="single"/>
            </w:tcBorders>
            <w:shd w:fill="auto" w:val="clear"/>
          </w:tcPr>
          <w:p w14:paraId="59000000">
            <w:pPr>
              <w:pStyle w:val="Style_3"/>
              <w:spacing w:after="0" w:before="0" w:line="276" w:lineRule="auto"/>
              <w:ind/>
              <w:rPr>
                <w:sz w:val="28"/>
              </w:rPr>
            </w:pPr>
            <w:r>
              <w:rPr>
                <w:sz w:val="28"/>
              </w:rPr>
              <w:t>Отгружено товаров собственного производства, выполнено работ и услуг собственными силами по крупным и средним организациям всех видов экономической деятельности, млн.рублей</w:t>
            </w:r>
          </w:p>
        </w:tc>
        <w:tc>
          <w:tcPr>
            <w:tcW w:type="dxa" w:w="1559"/>
            <w:tcBorders>
              <w:top w:sz="4" w:val="nil"/>
              <w:left w:sz="4" w:val="nil"/>
              <w:bottom w:color="000000" w:sz="8" w:val="single"/>
              <w:right w:color="000000" w:sz="8" w:val="single"/>
            </w:tcBorders>
            <w:shd w:fill="auto" w:val="clear"/>
            <w:vAlign w:val="center"/>
          </w:tcPr>
          <w:p w14:paraId="5A000000">
            <w:pPr>
              <w:pStyle w:val="Style_3"/>
              <w:spacing w:after="0" w:before="0" w:line="276" w:lineRule="auto"/>
              <w:ind/>
              <w:jc w:val="center"/>
              <w:rPr>
                <w:sz w:val="28"/>
              </w:rPr>
            </w:pPr>
            <w:r>
              <w:rPr>
                <w:sz w:val="28"/>
              </w:rPr>
              <w:t>119 243,5</w:t>
            </w:r>
          </w:p>
        </w:tc>
        <w:tc>
          <w:tcPr>
            <w:tcW w:type="dxa" w:w="1559"/>
            <w:tcBorders>
              <w:top w:sz="4" w:val="nil"/>
              <w:left w:sz="4" w:val="nil"/>
              <w:bottom w:color="000000" w:sz="8" w:val="single"/>
              <w:right w:color="000000" w:sz="8" w:val="single"/>
            </w:tcBorders>
            <w:shd w:fill="auto" w:val="clear"/>
            <w:vAlign w:val="center"/>
          </w:tcPr>
          <w:p w14:paraId="5B000000">
            <w:pPr>
              <w:pStyle w:val="Style_3"/>
              <w:spacing w:after="0" w:before="0" w:line="276" w:lineRule="auto"/>
              <w:ind/>
              <w:jc w:val="center"/>
              <w:rPr>
                <w:sz w:val="28"/>
              </w:rPr>
            </w:pPr>
            <w:r>
              <w:rPr>
                <w:sz w:val="28"/>
              </w:rPr>
              <w:t>96 999,4</w:t>
            </w:r>
          </w:p>
        </w:tc>
        <w:tc>
          <w:tcPr>
            <w:tcW w:type="dxa" w:w="1808"/>
            <w:tcBorders>
              <w:top w:sz="4" w:val="nil"/>
              <w:left w:sz="4" w:val="nil"/>
              <w:bottom w:color="000000" w:sz="8" w:val="single"/>
              <w:right w:color="000000" w:sz="8" w:val="single"/>
            </w:tcBorders>
            <w:shd w:fill="auto" w:val="clear"/>
            <w:vAlign w:val="center"/>
          </w:tcPr>
          <w:p w14:paraId="5C000000">
            <w:pPr>
              <w:pStyle w:val="Style_3"/>
              <w:spacing w:after="0" w:before="0" w:line="276" w:lineRule="auto"/>
              <w:ind/>
              <w:jc w:val="center"/>
              <w:rPr>
                <w:sz w:val="28"/>
              </w:rPr>
            </w:pPr>
            <w:r>
              <w:rPr>
                <w:sz w:val="28"/>
              </w:rPr>
              <w:t>122,9</w:t>
            </w:r>
          </w:p>
        </w:tc>
      </w:tr>
      <w:tr>
        <w:trPr>
          <w:trHeight w:hRule="atLeast" w:val="291"/>
        </w:trPr>
        <w:tc>
          <w:tcPr>
            <w:tcW w:type="dxa" w:w="5388"/>
            <w:tcBorders>
              <w:top w:sz="4" w:val="nil"/>
              <w:left w:color="000000" w:sz="8" w:val="single"/>
              <w:bottom w:color="000000" w:sz="8" w:val="single"/>
              <w:right w:color="000000" w:sz="8" w:val="single"/>
            </w:tcBorders>
            <w:shd w:fill="auto" w:val="clear"/>
          </w:tcPr>
          <w:p w14:paraId="5D000000">
            <w:pPr>
              <w:pStyle w:val="Style_3"/>
              <w:spacing w:after="0" w:before="0" w:line="276" w:lineRule="auto"/>
              <w:ind/>
              <w:rPr>
                <w:sz w:val="28"/>
              </w:rPr>
            </w:pPr>
            <w:r>
              <w:rPr>
                <w:sz w:val="28"/>
              </w:rPr>
              <w:t>в том числе:</w:t>
            </w:r>
          </w:p>
        </w:tc>
        <w:tc>
          <w:tcPr>
            <w:tcW w:type="dxa" w:w="1559"/>
            <w:tcBorders>
              <w:top w:sz="4" w:val="nil"/>
              <w:left w:sz="4" w:val="nil"/>
              <w:bottom w:color="000000" w:sz="8" w:val="single"/>
              <w:right w:color="000000" w:sz="8" w:val="single"/>
            </w:tcBorders>
            <w:shd w:fill="auto" w:val="clear"/>
            <w:vAlign w:val="center"/>
          </w:tcPr>
          <w:p w14:paraId="5E000000">
            <w:pPr>
              <w:pStyle w:val="Style_3"/>
              <w:spacing w:after="0" w:before="0" w:line="276" w:lineRule="auto"/>
              <w:ind w:firstLine="709" w:left="0"/>
              <w:jc w:val="center"/>
              <w:rPr>
                <w:sz w:val="28"/>
              </w:rPr>
            </w:pPr>
          </w:p>
        </w:tc>
        <w:tc>
          <w:tcPr>
            <w:tcW w:type="dxa" w:w="1559"/>
            <w:tcBorders>
              <w:top w:sz="4" w:val="nil"/>
              <w:left w:sz="4" w:val="nil"/>
              <w:bottom w:color="000000" w:sz="8" w:val="single"/>
              <w:right w:color="000000" w:sz="8" w:val="single"/>
            </w:tcBorders>
            <w:shd w:fill="auto" w:val="clear"/>
            <w:vAlign w:val="center"/>
          </w:tcPr>
          <w:p w14:paraId="5F000000">
            <w:pPr>
              <w:pStyle w:val="Style_3"/>
              <w:spacing w:after="0" w:before="0" w:line="276" w:lineRule="auto"/>
              <w:ind w:firstLine="709" w:left="0"/>
              <w:jc w:val="center"/>
              <w:rPr>
                <w:sz w:val="28"/>
              </w:rPr>
            </w:pPr>
          </w:p>
        </w:tc>
        <w:tc>
          <w:tcPr>
            <w:tcW w:type="dxa" w:w="1808"/>
            <w:tcBorders>
              <w:top w:sz="4" w:val="nil"/>
              <w:left w:sz="4" w:val="nil"/>
              <w:bottom w:color="000000" w:sz="8" w:val="single"/>
              <w:right w:color="000000" w:sz="8" w:val="single"/>
            </w:tcBorders>
            <w:shd w:fill="auto" w:val="clear"/>
            <w:vAlign w:val="center"/>
          </w:tcPr>
          <w:p w14:paraId="60000000">
            <w:pPr>
              <w:pStyle w:val="Style_3"/>
              <w:spacing w:after="0" w:before="0" w:line="276" w:lineRule="auto"/>
              <w:ind w:firstLine="709" w:left="0"/>
              <w:jc w:val="center"/>
              <w:rPr>
                <w:sz w:val="28"/>
              </w:rPr>
            </w:pPr>
          </w:p>
        </w:tc>
      </w:tr>
      <w:tr>
        <w:trPr>
          <w:trHeight w:hRule="atLeast" w:val="99"/>
        </w:trPr>
        <w:tc>
          <w:tcPr>
            <w:tcW w:type="dxa" w:w="5388"/>
            <w:tcBorders>
              <w:top w:sz="4" w:val="nil"/>
              <w:left w:color="000000" w:sz="8" w:val="single"/>
              <w:bottom w:color="000000" w:sz="8" w:val="single"/>
              <w:right w:color="000000" w:sz="8" w:val="single"/>
            </w:tcBorders>
            <w:shd w:fill="auto" w:val="clear"/>
          </w:tcPr>
          <w:p w14:paraId="61000000">
            <w:pPr>
              <w:pStyle w:val="Style_3"/>
              <w:spacing w:after="0" w:before="0" w:line="276" w:lineRule="auto"/>
              <w:ind w:firstLine="709" w:left="0"/>
              <w:rPr>
                <w:sz w:val="28"/>
              </w:rPr>
            </w:pPr>
            <w:r>
              <w:rPr>
                <w:sz w:val="28"/>
              </w:rPr>
              <w:t>Обрабатывающие производства, млн.рублей</w:t>
            </w:r>
          </w:p>
        </w:tc>
        <w:tc>
          <w:tcPr>
            <w:tcW w:type="dxa" w:w="1559"/>
            <w:tcBorders>
              <w:top w:sz="4" w:val="nil"/>
              <w:left w:sz="4" w:val="nil"/>
              <w:bottom w:color="000000" w:sz="8" w:val="single"/>
              <w:right w:color="000000" w:sz="8" w:val="single"/>
            </w:tcBorders>
            <w:shd w:fill="auto" w:val="clear"/>
            <w:vAlign w:val="center"/>
          </w:tcPr>
          <w:p w14:paraId="62000000">
            <w:pPr>
              <w:pStyle w:val="Style_3"/>
              <w:spacing w:after="0" w:before="0" w:line="276" w:lineRule="auto"/>
              <w:ind/>
              <w:jc w:val="center"/>
              <w:rPr>
                <w:sz w:val="28"/>
              </w:rPr>
            </w:pPr>
            <w:r>
              <w:rPr>
                <w:sz w:val="28"/>
              </w:rPr>
              <w:t>41 802,2</w:t>
            </w:r>
          </w:p>
        </w:tc>
        <w:tc>
          <w:tcPr>
            <w:tcW w:type="dxa" w:w="1559"/>
            <w:tcBorders>
              <w:top w:sz="4" w:val="nil"/>
              <w:left w:sz="4" w:val="nil"/>
              <w:bottom w:color="000000" w:sz="8" w:val="single"/>
              <w:right w:color="000000" w:sz="8" w:val="single"/>
            </w:tcBorders>
            <w:shd w:fill="auto" w:val="clear"/>
            <w:vAlign w:val="center"/>
          </w:tcPr>
          <w:p w14:paraId="63000000">
            <w:pPr>
              <w:pStyle w:val="Style_3"/>
              <w:spacing w:after="0" w:before="0" w:line="276" w:lineRule="auto"/>
              <w:ind/>
              <w:jc w:val="center"/>
              <w:rPr>
                <w:sz w:val="28"/>
              </w:rPr>
            </w:pPr>
            <w:r>
              <w:rPr>
                <w:sz w:val="28"/>
              </w:rPr>
              <w:t>23 333,3</w:t>
            </w:r>
          </w:p>
        </w:tc>
        <w:tc>
          <w:tcPr>
            <w:tcW w:type="dxa" w:w="1808"/>
            <w:tcBorders>
              <w:top w:sz="4" w:val="nil"/>
              <w:left w:sz="4" w:val="nil"/>
              <w:bottom w:color="000000" w:sz="8" w:val="single"/>
              <w:right w:color="000000" w:sz="8" w:val="single"/>
            </w:tcBorders>
            <w:shd w:fill="auto" w:val="clear"/>
            <w:vAlign w:val="center"/>
          </w:tcPr>
          <w:p w14:paraId="64000000">
            <w:pPr>
              <w:pStyle w:val="Style_3"/>
              <w:spacing w:after="0" w:before="0" w:line="276" w:lineRule="auto"/>
              <w:ind/>
              <w:jc w:val="center"/>
              <w:rPr>
                <w:sz w:val="28"/>
              </w:rPr>
            </w:pPr>
            <w:r>
              <w:rPr>
                <w:sz w:val="28"/>
              </w:rPr>
              <w:t>179,2</w:t>
            </w:r>
          </w:p>
        </w:tc>
      </w:tr>
      <w:tr>
        <w:trPr>
          <w:trHeight w:hRule="atLeast" w:val="705"/>
        </w:trPr>
        <w:tc>
          <w:tcPr>
            <w:tcW w:type="dxa" w:w="5388"/>
            <w:tcBorders>
              <w:top w:sz="4" w:val="nil"/>
              <w:left w:color="000000" w:sz="8" w:val="single"/>
              <w:bottom w:color="000000" w:sz="8" w:val="single"/>
              <w:right w:color="000000" w:sz="8" w:val="single"/>
            </w:tcBorders>
            <w:shd w:fill="auto" w:val="clear"/>
          </w:tcPr>
          <w:p w14:paraId="65000000">
            <w:pPr>
              <w:pStyle w:val="Style_3"/>
              <w:spacing w:after="0" w:before="0" w:line="276" w:lineRule="auto"/>
              <w:ind w:firstLine="709" w:left="0"/>
              <w:rPr>
                <w:sz w:val="28"/>
              </w:rPr>
            </w:pPr>
            <w:r>
              <w:rPr>
                <w:sz w:val="28"/>
              </w:rPr>
              <w:t>Обеспечение электрической энергией, газом и паром; кондиционирование воздуха, млн.рублей</w:t>
            </w:r>
          </w:p>
        </w:tc>
        <w:tc>
          <w:tcPr>
            <w:tcW w:type="dxa" w:w="1559"/>
            <w:tcBorders>
              <w:top w:sz="4" w:val="nil"/>
              <w:left w:sz="4" w:val="nil"/>
              <w:bottom w:color="000000" w:sz="8" w:val="single"/>
              <w:right w:color="000000" w:sz="8" w:val="single"/>
            </w:tcBorders>
            <w:shd w:fill="auto" w:val="clear"/>
            <w:vAlign w:val="center"/>
          </w:tcPr>
          <w:p w14:paraId="66000000">
            <w:pPr>
              <w:pStyle w:val="Style_3"/>
              <w:spacing w:after="0" w:before="0" w:line="276" w:lineRule="auto"/>
              <w:ind/>
              <w:jc w:val="center"/>
              <w:rPr>
                <w:sz w:val="28"/>
              </w:rPr>
            </w:pPr>
            <w:r>
              <w:rPr>
                <w:sz w:val="28"/>
              </w:rPr>
              <w:t>70 399,6</w:t>
            </w:r>
          </w:p>
        </w:tc>
        <w:tc>
          <w:tcPr>
            <w:tcW w:type="dxa" w:w="1559"/>
            <w:tcBorders>
              <w:top w:sz="4" w:val="nil"/>
              <w:left w:sz="4" w:val="nil"/>
              <w:bottom w:color="000000" w:sz="8" w:val="single"/>
              <w:right w:color="000000" w:sz="8" w:val="single"/>
            </w:tcBorders>
            <w:shd w:fill="auto" w:val="clear"/>
            <w:vAlign w:val="center"/>
          </w:tcPr>
          <w:p w14:paraId="67000000">
            <w:pPr>
              <w:pStyle w:val="Style_3"/>
              <w:spacing w:after="0" w:before="0" w:line="276" w:lineRule="auto"/>
              <w:ind/>
              <w:jc w:val="center"/>
              <w:rPr>
                <w:sz w:val="28"/>
              </w:rPr>
            </w:pPr>
            <w:r>
              <w:rPr>
                <w:sz w:val="28"/>
              </w:rPr>
              <w:t>6</w:t>
            </w:r>
            <w:r>
              <w:rPr>
                <w:sz w:val="28"/>
              </w:rPr>
              <w:t>7 290,0</w:t>
            </w:r>
          </w:p>
        </w:tc>
        <w:tc>
          <w:tcPr>
            <w:tcW w:type="dxa" w:w="1808"/>
            <w:tcBorders>
              <w:top w:sz="4" w:val="nil"/>
              <w:left w:sz="4" w:val="nil"/>
              <w:bottom w:color="000000" w:sz="8" w:val="single"/>
              <w:right w:color="000000" w:sz="8" w:val="single"/>
            </w:tcBorders>
            <w:shd w:fill="auto" w:val="clear"/>
            <w:vAlign w:val="center"/>
          </w:tcPr>
          <w:p w14:paraId="68000000">
            <w:pPr>
              <w:pStyle w:val="Style_3"/>
              <w:spacing w:after="0" w:before="0" w:line="276" w:lineRule="auto"/>
              <w:ind/>
              <w:jc w:val="center"/>
              <w:rPr>
                <w:sz w:val="28"/>
              </w:rPr>
            </w:pPr>
            <w:r>
              <w:rPr>
                <w:sz w:val="28"/>
              </w:rPr>
              <w:t>104,6</w:t>
            </w:r>
          </w:p>
        </w:tc>
      </w:tr>
      <w:tr>
        <w:trPr>
          <w:trHeight w:hRule="atLeast" w:val="349"/>
        </w:trPr>
        <w:tc>
          <w:tcPr>
            <w:tcW w:type="dxa" w:w="5388"/>
            <w:tcBorders>
              <w:top w:sz="4" w:val="nil"/>
              <w:left w:color="000000" w:sz="8" w:val="single"/>
              <w:bottom w:color="000000" w:sz="8" w:val="single"/>
              <w:right w:color="000000" w:sz="8" w:val="single"/>
            </w:tcBorders>
            <w:shd w:fill="auto" w:val="clear"/>
          </w:tcPr>
          <w:p w14:paraId="69000000">
            <w:pPr>
              <w:pStyle w:val="Style_3"/>
              <w:spacing w:after="0" w:before="0" w:line="276" w:lineRule="auto"/>
              <w:ind/>
              <w:rPr>
                <w:b w:val="1"/>
                <w:sz w:val="28"/>
              </w:rPr>
            </w:pPr>
            <w:r>
              <w:rPr>
                <w:b w:val="1"/>
                <w:sz w:val="28"/>
              </w:rPr>
              <w:t>Строительство, млн.рублей</w:t>
            </w:r>
          </w:p>
        </w:tc>
        <w:tc>
          <w:tcPr>
            <w:tcW w:type="dxa" w:w="1559"/>
            <w:tcBorders>
              <w:top w:sz="4" w:val="nil"/>
              <w:left w:sz="4" w:val="nil"/>
              <w:bottom w:color="000000" w:sz="8" w:val="single"/>
              <w:right w:color="000000" w:sz="8" w:val="single"/>
            </w:tcBorders>
            <w:shd w:fill="auto" w:val="clear"/>
            <w:vAlign w:val="center"/>
          </w:tcPr>
          <w:p w14:paraId="6A000000">
            <w:pPr>
              <w:pStyle w:val="Style_3"/>
              <w:spacing w:after="0" w:before="0" w:line="276" w:lineRule="auto"/>
              <w:ind/>
              <w:jc w:val="center"/>
              <w:rPr>
                <w:sz w:val="28"/>
              </w:rPr>
            </w:pPr>
            <w:r>
              <w:rPr>
                <w:sz w:val="28"/>
              </w:rPr>
              <w:t>1 225,6</w:t>
            </w:r>
          </w:p>
        </w:tc>
        <w:tc>
          <w:tcPr>
            <w:tcW w:type="dxa" w:w="1559"/>
            <w:tcBorders>
              <w:top w:sz="4" w:val="nil"/>
              <w:left w:sz="4" w:val="nil"/>
              <w:bottom w:color="000000" w:sz="8" w:val="single"/>
              <w:right w:color="000000" w:sz="8" w:val="single"/>
            </w:tcBorders>
            <w:shd w:fill="auto" w:val="clear"/>
            <w:vAlign w:val="center"/>
          </w:tcPr>
          <w:p w14:paraId="6B000000">
            <w:pPr>
              <w:pStyle w:val="Style_3"/>
              <w:spacing w:after="0" w:before="0" w:line="276" w:lineRule="auto"/>
              <w:ind/>
              <w:jc w:val="center"/>
              <w:rPr>
                <w:sz w:val="28"/>
              </w:rPr>
            </w:pPr>
            <w:r>
              <w:rPr>
                <w:sz w:val="28"/>
              </w:rPr>
              <w:t>1 104,0</w:t>
            </w:r>
          </w:p>
        </w:tc>
        <w:tc>
          <w:tcPr>
            <w:tcW w:type="dxa" w:w="1808"/>
            <w:tcBorders>
              <w:top w:sz="4" w:val="nil"/>
              <w:left w:sz="4" w:val="nil"/>
              <w:bottom w:color="000000" w:sz="8" w:val="single"/>
              <w:right w:color="000000" w:sz="8" w:val="single"/>
            </w:tcBorders>
            <w:shd w:fill="auto" w:val="clear"/>
            <w:vAlign w:val="center"/>
          </w:tcPr>
          <w:p w14:paraId="6C000000">
            <w:pPr>
              <w:pStyle w:val="Style_3"/>
              <w:spacing w:after="0" w:before="0" w:line="276" w:lineRule="auto"/>
              <w:ind/>
              <w:jc w:val="center"/>
              <w:rPr>
                <w:sz w:val="28"/>
              </w:rPr>
            </w:pPr>
            <w:r>
              <w:rPr>
                <w:sz w:val="28"/>
              </w:rPr>
              <w:t>111,0</w:t>
            </w:r>
          </w:p>
        </w:tc>
      </w:tr>
      <w:tr>
        <w:trPr>
          <w:trHeight w:hRule="atLeast" w:val="349"/>
        </w:trPr>
        <w:tc>
          <w:tcPr>
            <w:tcW w:type="dxa" w:w="5388"/>
            <w:tcBorders>
              <w:top w:sz="4" w:val="nil"/>
              <w:left w:color="000000" w:sz="8" w:val="single"/>
              <w:bottom w:color="000000" w:sz="8" w:val="single"/>
              <w:right w:color="000000" w:sz="8" w:val="single"/>
            </w:tcBorders>
            <w:shd w:fill="auto" w:val="clear"/>
          </w:tcPr>
          <w:p w14:paraId="6D000000">
            <w:pPr>
              <w:pStyle w:val="Style_3"/>
              <w:spacing w:after="0" w:before="0" w:line="276" w:lineRule="auto"/>
              <w:ind/>
              <w:rPr>
                <w:sz w:val="28"/>
              </w:rPr>
            </w:pPr>
            <w:r>
              <w:rPr>
                <w:sz w:val="28"/>
              </w:rPr>
              <w:t>Индекс промышленного производства и отгрузка товаров собственного производства, работ и услуг по промышленным видам экономической деятельности (по крупным и средним организациям в январе-ноябре 2021 в % к январю-ноябрю 2020)</w:t>
            </w:r>
          </w:p>
        </w:tc>
        <w:tc>
          <w:tcPr>
            <w:tcW w:type="dxa" w:w="1559"/>
            <w:tcBorders>
              <w:top w:sz="4" w:val="nil"/>
              <w:left w:sz="4" w:val="nil"/>
              <w:bottom w:color="000000" w:sz="8" w:val="single"/>
              <w:right w:color="000000" w:sz="8" w:val="single"/>
            </w:tcBorders>
            <w:shd w:fill="auto" w:val="clear"/>
            <w:vAlign w:val="center"/>
          </w:tcPr>
          <w:p w14:paraId="6E000000">
            <w:pPr>
              <w:pStyle w:val="Style_3"/>
              <w:spacing w:after="0" w:before="0" w:line="276" w:lineRule="auto"/>
              <w:ind/>
              <w:jc w:val="center"/>
              <w:rPr>
                <w:sz w:val="28"/>
              </w:rPr>
            </w:pPr>
            <w:r>
              <w:rPr>
                <w:sz w:val="28"/>
              </w:rPr>
              <w:t>-</w:t>
            </w:r>
          </w:p>
        </w:tc>
        <w:tc>
          <w:tcPr>
            <w:tcW w:type="dxa" w:w="1559"/>
            <w:tcBorders>
              <w:top w:sz="4" w:val="nil"/>
              <w:left w:sz="4" w:val="nil"/>
              <w:bottom w:color="000000" w:sz="8" w:val="single"/>
              <w:right w:color="000000" w:sz="8" w:val="single"/>
            </w:tcBorders>
            <w:shd w:fill="auto" w:val="clear"/>
            <w:vAlign w:val="center"/>
          </w:tcPr>
          <w:p w14:paraId="6F000000">
            <w:pPr>
              <w:pStyle w:val="Style_3"/>
              <w:spacing w:after="0" w:before="0" w:line="276" w:lineRule="auto"/>
              <w:ind/>
              <w:jc w:val="center"/>
              <w:rPr>
                <w:sz w:val="28"/>
              </w:rPr>
            </w:pPr>
            <w:r>
              <w:rPr>
                <w:sz w:val="28"/>
              </w:rPr>
              <w:t>-</w:t>
            </w:r>
          </w:p>
        </w:tc>
        <w:tc>
          <w:tcPr>
            <w:tcW w:type="dxa" w:w="1808"/>
            <w:tcBorders>
              <w:top w:sz="4" w:val="nil"/>
              <w:left w:sz="4" w:val="nil"/>
              <w:bottom w:color="000000" w:sz="8" w:val="single"/>
              <w:right w:color="000000" w:sz="8" w:val="single"/>
            </w:tcBorders>
            <w:shd w:fill="auto" w:val="clear"/>
            <w:vAlign w:val="center"/>
          </w:tcPr>
          <w:p w14:paraId="70000000">
            <w:pPr>
              <w:pStyle w:val="Style_3"/>
              <w:spacing w:after="0" w:before="0" w:line="276" w:lineRule="auto"/>
              <w:ind/>
              <w:jc w:val="center"/>
              <w:rPr>
                <w:sz w:val="28"/>
              </w:rPr>
            </w:pPr>
            <w:r>
              <w:rPr>
                <w:sz w:val="28"/>
              </w:rPr>
              <w:t>99,4</w:t>
            </w:r>
          </w:p>
        </w:tc>
      </w:tr>
      <w:tr>
        <w:trPr>
          <w:trHeight w:hRule="atLeast" w:val="218"/>
        </w:trPr>
        <w:tc>
          <w:tcPr>
            <w:tcW w:type="dxa" w:w="5388"/>
            <w:tcBorders>
              <w:top w:sz="4" w:val="nil"/>
              <w:left w:color="000000" w:sz="8" w:val="single"/>
              <w:bottom w:color="000000" w:sz="8" w:val="single"/>
              <w:right w:color="000000" w:sz="8" w:val="single"/>
            </w:tcBorders>
            <w:shd w:fill="auto" w:val="clear"/>
          </w:tcPr>
          <w:p w14:paraId="71000000">
            <w:pPr>
              <w:pStyle w:val="Style_3"/>
              <w:spacing w:after="0" w:before="0" w:line="276" w:lineRule="auto"/>
              <w:ind/>
              <w:rPr>
                <w:b w:val="1"/>
                <w:sz w:val="28"/>
              </w:rPr>
            </w:pPr>
            <w:r>
              <w:rPr>
                <w:b w:val="1"/>
                <w:sz w:val="28"/>
              </w:rPr>
              <w:t>Торговля (январь-сентябрь)</w:t>
            </w:r>
          </w:p>
        </w:tc>
        <w:tc>
          <w:tcPr>
            <w:tcW w:type="dxa" w:w="1559"/>
            <w:tcBorders>
              <w:top w:sz="4" w:val="nil"/>
              <w:left w:sz="4" w:val="nil"/>
              <w:bottom w:color="000000" w:sz="8" w:val="single"/>
              <w:right w:color="000000" w:sz="8" w:val="single"/>
            </w:tcBorders>
            <w:shd w:fill="auto" w:val="clear"/>
            <w:vAlign w:val="center"/>
          </w:tcPr>
          <w:p w14:paraId="72000000">
            <w:pPr>
              <w:pStyle w:val="Style_3"/>
              <w:spacing w:after="0" w:before="0" w:line="276" w:lineRule="auto"/>
              <w:ind w:firstLine="709" w:left="0"/>
              <w:jc w:val="center"/>
              <w:rPr>
                <w:b w:val="1"/>
                <w:sz w:val="28"/>
              </w:rPr>
            </w:pPr>
          </w:p>
        </w:tc>
        <w:tc>
          <w:tcPr>
            <w:tcW w:type="dxa" w:w="1559"/>
            <w:tcBorders>
              <w:top w:sz="4" w:val="nil"/>
              <w:left w:sz="4" w:val="nil"/>
              <w:bottom w:color="000000" w:sz="8" w:val="single"/>
              <w:right w:color="000000" w:sz="8" w:val="single"/>
            </w:tcBorders>
            <w:shd w:fill="auto" w:val="clear"/>
            <w:vAlign w:val="center"/>
          </w:tcPr>
          <w:p w14:paraId="73000000">
            <w:pPr>
              <w:pStyle w:val="Style_3"/>
              <w:spacing w:after="0" w:before="0" w:line="276" w:lineRule="auto"/>
              <w:ind w:firstLine="709" w:left="0"/>
              <w:jc w:val="center"/>
              <w:rPr>
                <w:b w:val="1"/>
                <w:sz w:val="28"/>
              </w:rPr>
            </w:pPr>
          </w:p>
        </w:tc>
        <w:tc>
          <w:tcPr>
            <w:tcW w:type="dxa" w:w="1808"/>
            <w:tcBorders>
              <w:top w:sz="4" w:val="nil"/>
              <w:left w:sz="4" w:val="nil"/>
              <w:bottom w:color="000000" w:sz="8" w:val="single"/>
              <w:right w:color="000000" w:sz="8" w:val="single"/>
            </w:tcBorders>
            <w:shd w:fill="auto" w:val="clear"/>
            <w:vAlign w:val="center"/>
          </w:tcPr>
          <w:p w14:paraId="74000000">
            <w:pPr>
              <w:pStyle w:val="Style_3"/>
              <w:spacing w:after="0" w:before="0" w:line="276" w:lineRule="auto"/>
              <w:ind w:firstLine="709" w:left="0"/>
              <w:jc w:val="center"/>
              <w:rPr>
                <w:b w:val="1"/>
                <w:sz w:val="28"/>
              </w:rPr>
            </w:pPr>
          </w:p>
        </w:tc>
      </w:tr>
      <w:tr>
        <w:trPr>
          <w:trHeight w:hRule="atLeast" w:val="705"/>
        </w:trPr>
        <w:tc>
          <w:tcPr>
            <w:tcW w:type="dxa" w:w="5388"/>
            <w:tcBorders>
              <w:top w:sz="4" w:val="nil"/>
              <w:left w:color="000000" w:sz="8" w:val="single"/>
              <w:bottom w:color="000000" w:sz="8" w:val="single"/>
              <w:right w:color="000000" w:sz="8" w:val="single"/>
            </w:tcBorders>
            <w:shd w:fill="auto" w:val="clear"/>
          </w:tcPr>
          <w:p w14:paraId="75000000">
            <w:pPr>
              <w:pStyle w:val="Style_3"/>
              <w:spacing w:after="0" w:before="0" w:line="276" w:lineRule="auto"/>
              <w:ind/>
              <w:rPr>
                <w:sz w:val="28"/>
              </w:rPr>
            </w:pPr>
            <w:r>
              <w:rPr>
                <w:sz w:val="28"/>
              </w:rPr>
              <w:t>Оборот розничной торговли по всем каналам реализации, млрд.рублей</w:t>
            </w:r>
          </w:p>
        </w:tc>
        <w:tc>
          <w:tcPr>
            <w:tcW w:type="dxa" w:w="1559"/>
            <w:tcBorders>
              <w:top w:sz="4" w:val="nil"/>
              <w:left w:sz="4" w:val="nil"/>
              <w:bottom w:color="000000" w:sz="8" w:val="single"/>
              <w:right w:color="000000" w:sz="8" w:val="single"/>
            </w:tcBorders>
            <w:shd w:fill="auto" w:val="clear"/>
            <w:vAlign w:val="center"/>
          </w:tcPr>
          <w:p w14:paraId="76000000">
            <w:pPr>
              <w:pStyle w:val="Style_3"/>
              <w:spacing w:after="0" w:before="0" w:line="276" w:lineRule="auto"/>
              <w:ind/>
              <w:jc w:val="center"/>
              <w:rPr>
                <w:sz w:val="28"/>
              </w:rPr>
            </w:pPr>
            <w:r>
              <w:rPr>
                <w:sz w:val="28"/>
              </w:rPr>
              <w:t>37,2</w:t>
            </w:r>
          </w:p>
        </w:tc>
        <w:tc>
          <w:tcPr>
            <w:tcW w:type="dxa" w:w="1559"/>
            <w:tcBorders>
              <w:top w:sz="4" w:val="nil"/>
              <w:left w:sz="4" w:val="nil"/>
              <w:bottom w:color="000000" w:sz="8" w:val="single"/>
              <w:right w:color="000000" w:sz="8" w:val="single"/>
            </w:tcBorders>
            <w:shd w:fill="auto" w:val="clear"/>
            <w:vAlign w:val="center"/>
          </w:tcPr>
          <w:p w14:paraId="77000000">
            <w:pPr>
              <w:pStyle w:val="Style_3"/>
              <w:spacing w:after="0" w:before="0" w:line="276" w:lineRule="auto"/>
              <w:ind/>
              <w:jc w:val="center"/>
              <w:rPr>
                <w:sz w:val="28"/>
              </w:rPr>
            </w:pPr>
            <w:r>
              <w:rPr>
                <w:sz w:val="28"/>
              </w:rPr>
              <w:t>29,7</w:t>
            </w:r>
          </w:p>
        </w:tc>
        <w:tc>
          <w:tcPr>
            <w:tcW w:type="dxa" w:w="1808"/>
            <w:tcBorders>
              <w:top w:sz="4" w:val="nil"/>
              <w:left w:sz="4" w:val="nil"/>
              <w:bottom w:color="000000" w:sz="8" w:val="single"/>
              <w:right w:color="000000" w:sz="8" w:val="single"/>
            </w:tcBorders>
            <w:shd w:fill="auto" w:val="clear"/>
            <w:vAlign w:val="center"/>
          </w:tcPr>
          <w:p w14:paraId="78000000">
            <w:pPr>
              <w:pStyle w:val="Style_3"/>
              <w:spacing w:after="0" w:before="0" w:line="276" w:lineRule="auto"/>
              <w:ind/>
              <w:jc w:val="center"/>
              <w:rPr>
                <w:sz w:val="28"/>
              </w:rPr>
            </w:pPr>
            <w:r>
              <w:rPr>
                <w:sz w:val="28"/>
              </w:rPr>
              <w:t>125,3</w:t>
            </w:r>
          </w:p>
        </w:tc>
      </w:tr>
      <w:tr>
        <w:trPr>
          <w:trHeight w:hRule="atLeast" w:val="390"/>
        </w:trPr>
        <w:tc>
          <w:tcPr>
            <w:tcW w:type="dxa" w:w="5388"/>
            <w:tcBorders>
              <w:top w:sz="4" w:val="nil"/>
              <w:left w:color="000000" w:sz="8" w:val="single"/>
              <w:bottom w:color="000000" w:sz="8" w:val="single"/>
              <w:right w:color="000000" w:sz="8" w:val="single"/>
            </w:tcBorders>
            <w:shd w:fill="auto" w:val="clear"/>
          </w:tcPr>
          <w:p w14:paraId="79000000">
            <w:pPr>
              <w:pStyle w:val="Style_3"/>
              <w:spacing w:after="0" w:before="0" w:line="276" w:lineRule="auto"/>
              <w:ind/>
              <w:rPr>
                <w:sz w:val="28"/>
              </w:rPr>
            </w:pPr>
            <w:r>
              <w:rPr>
                <w:sz w:val="28"/>
              </w:rPr>
              <w:t>Оборот общественного питания, млн.руб.</w:t>
            </w:r>
          </w:p>
        </w:tc>
        <w:tc>
          <w:tcPr>
            <w:tcW w:type="dxa" w:w="1559"/>
            <w:tcBorders>
              <w:top w:sz="4" w:val="nil"/>
              <w:left w:sz="4" w:val="nil"/>
              <w:bottom w:color="000000" w:sz="8" w:val="single"/>
              <w:right w:color="000000" w:sz="8" w:val="single"/>
            </w:tcBorders>
            <w:shd w:fill="auto" w:val="clear"/>
            <w:vAlign w:val="center"/>
          </w:tcPr>
          <w:p w14:paraId="7A000000">
            <w:pPr>
              <w:pStyle w:val="Style_3"/>
              <w:spacing w:after="0" w:before="0" w:line="276" w:lineRule="auto"/>
              <w:ind/>
              <w:jc w:val="center"/>
              <w:rPr>
                <w:sz w:val="28"/>
              </w:rPr>
            </w:pPr>
            <w:r>
              <w:rPr>
                <w:sz w:val="28"/>
              </w:rPr>
              <w:t>1 370,2</w:t>
            </w:r>
          </w:p>
        </w:tc>
        <w:tc>
          <w:tcPr>
            <w:tcW w:type="dxa" w:w="1559"/>
            <w:tcBorders>
              <w:top w:sz="4" w:val="nil"/>
              <w:left w:sz="4" w:val="nil"/>
              <w:bottom w:color="000000" w:sz="8" w:val="single"/>
              <w:right w:color="000000" w:sz="8" w:val="single"/>
            </w:tcBorders>
            <w:shd w:fill="auto" w:val="clear"/>
            <w:vAlign w:val="center"/>
          </w:tcPr>
          <w:p w14:paraId="7B000000">
            <w:pPr>
              <w:pStyle w:val="Style_3"/>
              <w:spacing w:after="0" w:before="0" w:line="276" w:lineRule="auto"/>
              <w:ind/>
              <w:jc w:val="center"/>
              <w:rPr>
                <w:sz w:val="28"/>
              </w:rPr>
            </w:pPr>
            <w:r>
              <w:rPr>
                <w:sz w:val="28"/>
              </w:rPr>
              <w:t>1 095,0</w:t>
            </w:r>
          </w:p>
        </w:tc>
        <w:tc>
          <w:tcPr>
            <w:tcW w:type="dxa" w:w="1808"/>
            <w:tcBorders>
              <w:top w:sz="4" w:val="nil"/>
              <w:left w:sz="4" w:val="nil"/>
              <w:bottom w:color="000000" w:sz="8" w:val="single"/>
              <w:right w:color="000000" w:sz="8" w:val="single"/>
            </w:tcBorders>
            <w:shd w:fill="auto" w:val="clear"/>
            <w:vAlign w:val="center"/>
          </w:tcPr>
          <w:p w14:paraId="7C000000">
            <w:pPr>
              <w:pStyle w:val="Style_3"/>
              <w:spacing w:after="0" w:before="0" w:line="276" w:lineRule="auto"/>
              <w:ind/>
              <w:jc w:val="center"/>
              <w:rPr>
                <w:sz w:val="28"/>
              </w:rPr>
            </w:pPr>
            <w:r>
              <w:rPr>
                <w:sz w:val="28"/>
              </w:rPr>
              <w:t>125,1</w:t>
            </w:r>
          </w:p>
        </w:tc>
      </w:tr>
      <w:tr>
        <w:trPr>
          <w:trHeight w:hRule="atLeast" w:val="390"/>
        </w:trPr>
        <w:tc>
          <w:tcPr>
            <w:tcW w:type="dxa" w:w="5388"/>
            <w:tcBorders>
              <w:top w:sz="4" w:val="nil"/>
              <w:left w:color="000000" w:sz="8" w:val="single"/>
              <w:bottom w:color="000000" w:sz="8" w:val="single"/>
              <w:right w:color="000000" w:sz="8" w:val="single"/>
            </w:tcBorders>
            <w:shd w:fill="auto" w:val="clear"/>
          </w:tcPr>
          <w:p w14:paraId="7D000000">
            <w:pPr>
              <w:pStyle w:val="Style_3"/>
              <w:spacing w:after="0" w:before="0" w:line="276" w:lineRule="auto"/>
              <w:ind/>
              <w:rPr>
                <w:sz w:val="28"/>
              </w:rPr>
            </w:pPr>
            <w:r>
              <w:rPr>
                <w:sz w:val="28"/>
              </w:rPr>
              <w:t>Оборот розничной торговли на душу населения, рублей</w:t>
            </w:r>
          </w:p>
        </w:tc>
        <w:tc>
          <w:tcPr>
            <w:tcW w:type="dxa" w:w="1559"/>
            <w:tcBorders>
              <w:top w:sz="4" w:val="nil"/>
              <w:left w:sz="4" w:val="nil"/>
              <w:bottom w:color="000000" w:sz="8" w:val="single"/>
              <w:right w:color="000000" w:sz="8" w:val="single"/>
            </w:tcBorders>
            <w:shd w:fill="auto" w:val="clear"/>
            <w:vAlign w:val="center"/>
          </w:tcPr>
          <w:p w14:paraId="7E000000">
            <w:pPr>
              <w:pStyle w:val="Style_3"/>
              <w:spacing w:after="0" w:before="0" w:line="276" w:lineRule="auto"/>
              <w:ind/>
              <w:jc w:val="center"/>
              <w:rPr>
                <w:sz w:val="28"/>
              </w:rPr>
            </w:pPr>
            <w:r>
              <w:rPr>
                <w:sz w:val="28"/>
              </w:rPr>
              <w:t>218 603,2</w:t>
            </w:r>
          </w:p>
        </w:tc>
        <w:tc>
          <w:tcPr>
            <w:tcW w:type="dxa" w:w="1559"/>
            <w:tcBorders>
              <w:top w:sz="4" w:val="nil"/>
              <w:left w:sz="4" w:val="nil"/>
              <w:bottom w:color="000000" w:sz="8" w:val="single"/>
              <w:right w:color="000000" w:sz="8" w:val="single"/>
            </w:tcBorders>
            <w:shd w:fill="auto" w:val="clear"/>
            <w:vAlign w:val="center"/>
          </w:tcPr>
          <w:p w14:paraId="7F000000">
            <w:pPr>
              <w:pStyle w:val="Style_3"/>
              <w:spacing w:after="0" w:before="0" w:line="276" w:lineRule="auto"/>
              <w:ind/>
              <w:jc w:val="center"/>
              <w:rPr>
                <w:sz w:val="28"/>
              </w:rPr>
            </w:pPr>
            <w:r>
              <w:rPr>
                <w:sz w:val="28"/>
              </w:rPr>
              <w:t>173 509,8</w:t>
            </w:r>
          </w:p>
        </w:tc>
        <w:tc>
          <w:tcPr>
            <w:tcW w:type="dxa" w:w="1808"/>
            <w:tcBorders>
              <w:top w:sz="4" w:val="nil"/>
              <w:left w:sz="4" w:val="nil"/>
              <w:bottom w:color="000000" w:sz="8" w:val="single"/>
              <w:right w:color="000000" w:sz="8" w:val="single"/>
            </w:tcBorders>
            <w:shd w:fill="auto" w:val="clear"/>
            <w:vAlign w:val="center"/>
          </w:tcPr>
          <w:p w14:paraId="80000000">
            <w:pPr>
              <w:pStyle w:val="Style_3"/>
              <w:spacing w:after="0" w:before="0" w:line="276" w:lineRule="auto"/>
              <w:ind/>
              <w:jc w:val="center"/>
              <w:rPr>
                <w:sz w:val="28"/>
              </w:rPr>
            </w:pPr>
            <w:r>
              <w:rPr>
                <w:sz w:val="28"/>
              </w:rPr>
              <w:t>126,0</w:t>
            </w:r>
          </w:p>
        </w:tc>
      </w:tr>
      <w:tr>
        <w:tc>
          <w:tcPr>
            <w:tcW w:type="dxa" w:w="5388"/>
          </w:tcPr>
          <w:p w14:paraId="81000000">
            <w:pPr>
              <w:pStyle w:val="Style_3"/>
              <w:spacing w:after="0" w:before="0" w:line="276" w:lineRule="auto"/>
              <w:ind/>
              <w:rPr>
                <w:sz w:val="28"/>
              </w:rPr>
            </w:pPr>
            <w:r>
              <w:rPr>
                <w:b w:val="1"/>
                <w:sz w:val="28"/>
              </w:rPr>
              <w:t>Инвестиции в основной капитал</w:t>
            </w:r>
            <w:r>
              <w:rPr>
                <w:sz w:val="28"/>
              </w:rPr>
              <w:t xml:space="preserve"> (по крупным и средним предприятиям)  млн. руб. (январь-декабрь)</w:t>
            </w:r>
          </w:p>
        </w:tc>
        <w:tc>
          <w:tcPr>
            <w:tcW w:type="dxa" w:w="1559"/>
            <w:vAlign w:val="center"/>
          </w:tcPr>
          <w:p w14:paraId="82000000">
            <w:pPr>
              <w:pStyle w:val="Style_3"/>
              <w:spacing w:after="0" w:before="0" w:line="276" w:lineRule="auto"/>
              <w:ind/>
              <w:jc w:val="center"/>
              <w:rPr>
                <w:sz w:val="28"/>
              </w:rPr>
            </w:pPr>
            <w:r>
              <w:rPr>
                <w:sz w:val="28"/>
              </w:rPr>
              <w:t>11 300*</w:t>
            </w:r>
          </w:p>
        </w:tc>
        <w:tc>
          <w:tcPr>
            <w:tcW w:type="dxa" w:w="1559"/>
            <w:vAlign w:val="center"/>
          </w:tcPr>
          <w:p w14:paraId="83000000">
            <w:pPr>
              <w:pStyle w:val="Style_3"/>
              <w:spacing w:after="0" w:before="0" w:line="276" w:lineRule="auto"/>
              <w:ind/>
              <w:jc w:val="center"/>
              <w:rPr>
                <w:sz w:val="28"/>
              </w:rPr>
            </w:pPr>
            <w:r>
              <w:rPr>
                <w:sz w:val="28"/>
              </w:rPr>
              <w:t>10 292</w:t>
            </w:r>
          </w:p>
        </w:tc>
        <w:tc>
          <w:tcPr>
            <w:tcW w:type="dxa" w:w="1808"/>
            <w:vAlign w:val="center"/>
          </w:tcPr>
          <w:p w14:paraId="84000000">
            <w:pPr>
              <w:pStyle w:val="Style_3"/>
              <w:spacing w:after="0" w:before="0" w:line="276" w:lineRule="auto"/>
              <w:ind/>
              <w:jc w:val="center"/>
              <w:rPr>
                <w:sz w:val="28"/>
              </w:rPr>
            </w:pPr>
            <w:r>
              <w:rPr>
                <w:sz w:val="28"/>
              </w:rPr>
              <w:t>109,8</w:t>
            </w:r>
          </w:p>
        </w:tc>
      </w:tr>
      <w:tr>
        <w:trPr>
          <w:trHeight w:hRule="atLeast" w:val="249"/>
        </w:trPr>
        <w:tc>
          <w:tcPr>
            <w:tcW w:type="dxa" w:w="5388"/>
            <w:tcBorders>
              <w:top w:sz="4" w:val="nil"/>
              <w:left w:color="000000" w:sz="8" w:val="single"/>
              <w:bottom w:color="000000" w:sz="8" w:val="single"/>
              <w:right w:color="000000" w:sz="8" w:val="single"/>
            </w:tcBorders>
            <w:shd w:fill="auto" w:val="clear"/>
          </w:tcPr>
          <w:p w14:paraId="85000000">
            <w:pPr>
              <w:pStyle w:val="Style_3"/>
              <w:spacing w:after="0" w:before="0" w:line="276" w:lineRule="auto"/>
              <w:ind/>
              <w:rPr>
                <w:b w:val="1"/>
                <w:sz w:val="28"/>
              </w:rPr>
            </w:pPr>
            <w:r>
              <w:rPr>
                <w:b w:val="1"/>
                <w:sz w:val="28"/>
              </w:rPr>
              <w:t>Рынок труда</w:t>
            </w:r>
          </w:p>
        </w:tc>
        <w:tc>
          <w:tcPr>
            <w:tcW w:type="dxa" w:w="1559"/>
            <w:tcBorders>
              <w:top w:sz="4" w:val="nil"/>
              <w:left w:sz="4" w:val="nil"/>
              <w:bottom w:color="000000" w:sz="8" w:val="single"/>
              <w:right w:color="000000" w:sz="8" w:val="single"/>
            </w:tcBorders>
            <w:shd w:fill="auto" w:val="clear"/>
            <w:vAlign w:val="center"/>
          </w:tcPr>
          <w:p w14:paraId="86000000">
            <w:pPr>
              <w:pStyle w:val="Style_3"/>
              <w:spacing w:after="0" w:before="0" w:line="276" w:lineRule="auto"/>
              <w:ind w:firstLine="709" w:left="0"/>
              <w:jc w:val="center"/>
              <w:rPr>
                <w:b w:val="1"/>
                <w:sz w:val="28"/>
              </w:rPr>
            </w:pPr>
          </w:p>
        </w:tc>
        <w:tc>
          <w:tcPr>
            <w:tcW w:type="dxa" w:w="1559"/>
            <w:tcBorders>
              <w:top w:sz="4" w:val="nil"/>
              <w:left w:sz="4" w:val="nil"/>
              <w:bottom w:color="000000" w:sz="8" w:val="single"/>
              <w:right w:color="000000" w:sz="8" w:val="single"/>
            </w:tcBorders>
            <w:shd w:fill="auto" w:val="clear"/>
            <w:vAlign w:val="center"/>
          </w:tcPr>
          <w:p w14:paraId="87000000">
            <w:pPr>
              <w:pStyle w:val="Style_3"/>
              <w:spacing w:after="0" w:before="0" w:line="276" w:lineRule="auto"/>
              <w:ind w:firstLine="709" w:left="0"/>
              <w:jc w:val="center"/>
              <w:rPr>
                <w:b w:val="1"/>
                <w:sz w:val="28"/>
              </w:rPr>
            </w:pPr>
          </w:p>
        </w:tc>
        <w:tc>
          <w:tcPr>
            <w:tcW w:type="dxa" w:w="1808"/>
            <w:tcBorders>
              <w:top w:sz="4" w:val="nil"/>
              <w:left w:sz="4" w:val="nil"/>
              <w:bottom w:color="000000" w:sz="8" w:val="single"/>
              <w:right w:color="000000" w:sz="8" w:val="single"/>
            </w:tcBorders>
            <w:shd w:fill="auto" w:val="clear"/>
            <w:vAlign w:val="center"/>
          </w:tcPr>
          <w:p w14:paraId="88000000">
            <w:pPr>
              <w:pStyle w:val="Style_3"/>
              <w:spacing w:after="0" w:before="0" w:line="276" w:lineRule="auto"/>
              <w:ind w:firstLine="709" w:left="0"/>
              <w:jc w:val="center"/>
              <w:rPr>
                <w:b w:val="1"/>
                <w:sz w:val="28"/>
              </w:rPr>
            </w:pPr>
          </w:p>
        </w:tc>
      </w:tr>
      <w:tr>
        <w:trPr>
          <w:trHeight w:hRule="atLeast" w:val="623"/>
        </w:trPr>
        <w:tc>
          <w:tcPr>
            <w:tcW w:type="dxa" w:w="5388"/>
            <w:tcBorders>
              <w:top w:sz="4" w:val="nil"/>
              <w:left w:color="000000" w:sz="8" w:val="single"/>
              <w:bottom w:color="000000" w:sz="8" w:val="single"/>
              <w:right w:color="000000" w:sz="8" w:val="single"/>
            </w:tcBorders>
            <w:shd w:fill="auto" w:val="clear"/>
          </w:tcPr>
          <w:p w14:paraId="89000000">
            <w:pPr>
              <w:pStyle w:val="Style_3"/>
              <w:spacing w:after="0" w:before="0" w:line="276" w:lineRule="auto"/>
              <w:ind/>
              <w:rPr>
                <w:sz w:val="28"/>
              </w:rPr>
            </w:pPr>
            <w:r>
              <w:rPr>
                <w:sz w:val="28"/>
              </w:rPr>
              <w:t>Среднесписочная численность работников по полному кругу предприятий и организаций, человек (январь-октябрь)</w:t>
            </w:r>
          </w:p>
        </w:tc>
        <w:tc>
          <w:tcPr>
            <w:tcW w:type="dxa" w:w="1559"/>
            <w:tcBorders>
              <w:top w:sz="4" w:val="nil"/>
              <w:left w:sz="4" w:val="nil"/>
              <w:bottom w:color="000000" w:sz="8" w:val="single"/>
              <w:right w:color="000000" w:sz="8" w:val="single"/>
            </w:tcBorders>
            <w:shd w:fill="auto" w:val="clear"/>
            <w:vAlign w:val="center"/>
          </w:tcPr>
          <w:p w14:paraId="8A000000">
            <w:pPr>
              <w:pStyle w:val="Style_3"/>
              <w:spacing w:after="0" w:before="0" w:line="276" w:lineRule="auto"/>
              <w:ind/>
              <w:jc w:val="center"/>
              <w:rPr>
                <w:sz w:val="28"/>
              </w:rPr>
            </w:pPr>
            <w:r>
              <w:rPr>
                <w:sz w:val="28"/>
              </w:rPr>
              <w:t>46 430,0</w:t>
            </w:r>
          </w:p>
        </w:tc>
        <w:tc>
          <w:tcPr>
            <w:tcW w:type="dxa" w:w="1559"/>
            <w:tcBorders>
              <w:top w:sz="4" w:val="nil"/>
              <w:left w:sz="4" w:val="nil"/>
              <w:bottom w:color="000000" w:sz="8" w:val="single"/>
              <w:right w:color="000000" w:sz="8" w:val="single"/>
            </w:tcBorders>
            <w:shd w:fill="auto" w:val="clear"/>
            <w:vAlign w:val="center"/>
          </w:tcPr>
          <w:p w14:paraId="8B000000">
            <w:pPr>
              <w:pStyle w:val="Style_3"/>
              <w:spacing w:after="0" w:before="0" w:line="276" w:lineRule="auto"/>
              <w:ind/>
              <w:jc w:val="center"/>
              <w:rPr>
                <w:sz w:val="28"/>
              </w:rPr>
            </w:pPr>
            <w:r>
              <w:rPr>
                <w:sz w:val="28"/>
              </w:rPr>
              <w:t>46 178,0</w:t>
            </w:r>
          </w:p>
        </w:tc>
        <w:tc>
          <w:tcPr>
            <w:tcW w:type="dxa" w:w="1808"/>
            <w:tcBorders>
              <w:top w:sz="4" w:val="nil"/>
              <w:left w:sz="4" w:val="nil"/>
              <w:bottom w:color="000000" w:sz="8" w:val="single"/>
              <w:right w:color="000000" w:sz="8" w:val="single"/>
            </w:tcBorders>
            <w:shd w:fill="auto" w:val="clear"/>
            <w:vAlign w:val="center"/>
          </w:tcPr>
          <w:p w14:paraId="8C000000">
            <w:pPr>
              <w:pStyle w:val="Style_3"/>
              <w:spacing w:after="0" w:before="0" w:line="276" w:lineRule="auto"/>
              <w:ind/>
              <w:jc w:val="center"/>
              <w:rPr>
                <w:sz w:val="28"/>
              </w:rPr>
            </w:pPr>
            <w:r>
              <w:rPr>
                <w:sz w:val="28"/>
              </w:rPr>
              <w:t>100,6</w:t>
            </w:r>
          </w:p>
        </w:tc>
      </w:tr>
      <w:tr>
        <w:trPr>
          <w:trHeight w:hRule="atLeast" w:val="477"/>
        </w:trPr>
        <w:tc>
          <w:tcPr>
            <w:tcW w:type="dxa" w:w="5388"/>
            <w:tcBorders>
              <w:top w:sz="4" w:val="nil"/>
              <w:left w:color="000000" w:sz="8" w:val="single"/>
              <w:bottom w:color="000000" w:sz="8" w:val="single"/>
              <w:right w:color="000000" w:sz="8" w:val="single"/>
            </w:tcBorders>
            <w:shd w:fill="auto" w:val="clear"/>
          </w:tcPr>
          <w:p w14:paraId="8D000000">
            <w:pPr>
              <w:pStyle w:val="Style_3"/>
              <w:spacing w:after="0" w:before="0" w:line="276" w:lineRule="auto"/>
              <w:ind/>
              <w:rPr>
                <w:sz w:val="28"/>
              </w:rPr>
            </w:pPr>
            <w:r>
              <w:rPr>
                <w:sz w:val="28"/>
              </w:rPr>
              <w:t>Среднесписочная численность работников крупных и средних предприятий, человек (январь-ноябрь)</w:t>
            </w:r>
          </w:p>
        </w:tc>
        <w:tc>
          <w:tcPr>
            <w:tcW w:type="dxa" w:w="1559"/>
            <w:tcBorders>
              <w:top w:sz="4" w:val="nil"/>
              <w:left w:sz="4" w:val="nil"/>
              <w:bottom w:color="000000" w:sz="8" w:val="single"/>
              <w:right w:color="000000" w:sz="8" w:val="single"/>
            </w:tcBorders>
            <w:shd w:fill="auto" w:val="clear"/>
            <w:vAlign w:val="center"/>
          </w:tcPr>
          <w:p w14:paraId="8E000000">
            <w:pPr>
              <w:pStyle w:val="Style_3"/>
              <w:spacing w:after="0" w:before="0" w:line="276" w:lineRule="auto"/>
              <w:ind/>
              <w:jc w:val="center"/>
              <w:rPr>
                <w:sz w:val="28"/>
              </w:rPr>
            </w:pPr>
            <w:r>
              <w:rPr>
                <w:sz w:val="28"/>
              </w:rPr>
              <w:t>34 961,0</w:t>
            </w:r>
          </w:p>
        </w:tc>
        <w:tc>
          <w:tcPr>
            <w:tcW w:type="dxa" w:w="1559"/>
            <w:tcBorders>
              <w:top w:sz="4" w:val="nil"/>
              <w:left w:sz="4" w:val="nil"/>
              <w:bottom w:color="000000" w:sz="8" w:val="single"/>
              <w:right w:color="000000" w:sz="8" w:val="single"/>
            </w:tcBorders>
            <w:shd w:fill="auto" w:val="clear"/>
            <w:vAlign w:val="center"/>
          </w:tcPr>
          <w:p w14:paraId="8F000000">
            <w:pPr>
              <w:pStyle w:val="Style_3"/>
              <w:spacing w:after="0" w:before="0" w:line="276" w:lineRule="auto"/>
              <w:ind/>
              <w:jc w:val="center"/>
              <w:rPr>
                <w:sz w:val="28"/>
              </w:rPr>
            </w:pPr>
            <w:r>
              <w:rPr>
                <w:sz w:val="28"/>
              </w:rPr>
              <w:t>34 626,0</w:t>
            </w:r>
          </w:p>
        </w:tc>
        <w:tc>
          <w:tcPr>
            <w:tcW w:type="dxa" w:w="1808"/>
            <w:tcBorders>
              <w:top w:sz="4" w:val="nil"/>
              <w:left w:sz="4" w:val="nil"/>
              <w:bottom w:color="000000" w:sz="8" w:val="single"/>
              <w:right w:color="000000" w:sz="8" w:val="single"/>
            </w:tcBorders>
            <w:shd w:fill="auto" w:val="clear"/>
            <w:vAlign w:val="center"/>
          </w:tcPr>
          <w:p w14:paraId="90000000">
            <w:pPr>
              <w:pStyle w:val="Style_3"/>
              <w:spacing w:after="0" w:before="0" w:line="276" w:lineRule="auto"/>
              <w:ind/>
              <w:jc w:val="center"/>
              <w:rPr>
                <w:sz w:val="28"/>
              </w:rPr>
            </w:pPr>
            <w:r>
              <w:rPr>
                <w:sz w:val="28"/>
              </w:rPr>
              <w:t>101,0</w:t>
            </w:r>
          </w:p>
        </w:tc>
      </w:tr>
      <w:tr>
        <w:trPr>
          <w:trHeight w:hRule="atLeast" w:val="318"/>
        </w:trPr>
        <w:tc>
          <w:tcPr>
            <w:tcW w:type="dxa" w:w="5388"/>
            <w:tcBorders>
              <w:top w:sz="4" w:val="nil"/>
              <w:left w:color="000000" w:sz="8" w:val="single"/>
              <w:bottom w:color="000000" w:sz="8" w:val="single"/>
              <w:right w:color="000000" w:sz="8" w:val="single"/>
            </w:tcBorders>
            <w:shd w:fill="auto" w:val="clear"/>
          </w:tcPr>
          <w:p w14:paraId="91000000">
            <w:pPr>
              <w:pStyle w:val="Style_3"/>
              <w:spacing w:after="0" w:before="0" w:line="276" w:lineRule="auto"/>
              <w:ind/>
              <w:rPr>
                <w:sz w:val="28"/>
              </w:rPr>
            </w:pPr>
            <w:r>
              <w:rPr>
                <w:sz w:val="28"/>
              </w:rPr>
              <w:t>Уровень регистрируемой безработицы, % (январь-декабрь)</w:t>
            </w:r>
          </w:p>
        </w:tc>
        <w:tc>
          <w:tcPr>
            <w:tcW w:type="dxa" w:w="1559"/>
            <w:tcBorders>
              <w:top w:sz="4" w:val="nil"/>
              <w:left w:sz="4" w:val="nil"/>
              <w:bottom w:color="000000" w:sz="8" w:val="single"/>
              <w:right w:color="000000" w:sz="8" w:val="single"/>
            </w:tcBorders>
            <w:shd w:fill="auto" w:val="clear"/>
            <w:vAlign w:val="center"/>
          </w:tcPr>
          <w:p w14:paraId="92000000">
            <w:pPr>
              <w:pStyle w:val="Style_3"/>
              <w:spacing w:after="0" w:before="0" w:line="276" w:lineRule="auto"/>
              <w:ind/>
              <w:jc w:val="center"/>
              <w:rPr>
                <w:sz w:val="28"/>
              </w:rPr>
            </w:pPr>
            <w:r>
              <w:rPr>
                <w:sz w:val="28"/>
              </w:rPr>
              <w:t>0,59</w:t>
            </w:r>
          </w:p>
        </w:tc>
        <w:tc>
          <w:tcPr>
            <w:tcW w:type="dxa" w:w="1559"/>
            <w:tcBorders>
              <w:top w:sz="4" w:val="nil"/>
              <w:left w:sz="4" w:val="nil"/>
              <w:bottom w:color="000000" w:sz="8" w:val="single"/>
              <w:right w:color="000000" w:sz="8" w:val="single"/>
            </w:tcBorders>
            <w:shd w:fill="auto" w:val="clear"/>
            <w:vAlign w:val="center"/>
          </w:tcPr>
          <w:p w14:paraId="93000000">
            <w:pPr>
              <w:pStyle w:val="Style_3"/>
              <w:spacing w:after="0" w:before="0" w:line="276" w:lineRule="auto"/>
              <w:ind/>
              <w:jc w:val="center"/>
              <w:rPr>
                <w:sz w:val="28"/>
              </w:rPr>
            </w:pPr>
            <w:r>
              <w:rPr>
                <w:sz w:val="28"/>
              </w:rPr>
              <w:t>4,5</w:t>
            </w:r>
          </w:p>
        </w:tc>
        <w:tc>
          <w:tcPr>
            <w:tcW w:type="dxa" w:w="1808"/>
            <w:tcBorders>
              <w:top w:sz="4" w:val="nil"/>
              <w:left w:sz="4" w:val="nil"/>
              <w:bottom w:color="000000" w:sz="8" w:val="single"/>
              <w:right w:color="000000" w:sz="8" w:val="single"/>
            </w:tcBorders>
            <w:shd w:fill="auto" w:val="clear"/>
            <w:vAlign w:val="center"/>
          </w:tcPr>
          <w:p w14:paraId="94000000">
            <w:pPr>
              <w:pStyle w:val="Style_3"/>
              <w:spacing w:after="0" w:before="0" w:line="276" w:lineRule="auto"/>
              <w:ind/>
              <w:jc w:val="center"/>
              <w:rPr>
                <w:sz w:val="28"/>
              </w:rPr>
            </w:pPr>
            <w:r>
              <w:rPr>
                <w:sz w:val="28"/>
              </w:rPr>
              <w:t>13,1</w:t>
            </w:r>
          </w:p>
        </w:tc>
      </w:tr>
      <w:tr>
        <w:trPr>
          <w:trHeight w:hRule="atLeast" w:val="390"/>
        </w:trPr>
        <w:tc>
          <w:tcPr>
            <w:tcW w:type="dxa" w:w="5388"/>
            <w:tcBorders>
              <w:top w:sz="4" w:val="nil"/>
              <w:left w:color="000000" w:sz="8" w:val="single"/>
              <w:bottom w:color="000000" w:sz="8" w:val="single"/>
              <w:right w:color="000000" w:sz="8" w:val="single"/>
            </w:tcBorders>
            <w:shd w:fill="auto" w:val="clear"/>
          </w:tcPr>
          <w:p w14:paraId="95000000">
            <w:pPr>
              <w:pStyle w:val="Style_3"/>
              <w:spacing w:after="0" w:before="0" w:line="276" w:lineRule="auto"/>
              <w:ind/>
              <w:rPr>
                <w:sz w:val="28"/>
              </w:rPr>
            </w:pPr>
            <w:r>
              <w:rPr>
                <w:sz w:val="28"/>
              </w:rPr>
              <w:t>Уровень жизни населения</w:t>
            </w:r>
          </w:p>
        </w:tc>
        <w:tc>
          <w:tcPr>
            <w:tcW w:type="dxa" w:w="1559"/>
            <w:tcBorders>
              <w:top w:sz="4" w:val="nil"/>
              <w:left w:sz="4" w:val="nil"/>
              <w:bottom w:color="000000" w:sz="8" w:val="single"/>
              <w:right w:color="000000" w:sz="8" w:val="single"/>
            </w:tcBorders>
            <w:shd w:fill="auto" w:val="clear"/>
            <w:vAlign w:val="center"/>
          </w:tcPr>
          <w:p w14:paraId="96000000">
            <w:pPr>
              <w:pStyle w:val="Style_3"/>
              <w:spacing w:after="0" w:before="0" w:line="276" w:lineRule="auto"/>
              <w:ind w:firstLine="709" w:left="0"/>
              <w:jc w:val="center"/>
              <w:rPr>
                <w:sz w:val="28"/>
              </w:rPr>
            </w:pPr>
          </w:p>
        </w:tc>
        <w:tc>
          <w:tcPr>
            <w:tcW w:type="dxa" w:w="1559"/>
            <w:tcBorders>
              <w:top w:sz="4" w:val="nil"/>
              <w:left w:sz="4" w:val="nil"/>
              <w:bottom w:color="000000" w:sz="8" w:val="single"/>
              <w:right w:color="000000" w:sz="8" w:val="single"/>
            </w:tcBorders>
            <w:shd w:fill="auto" w:val="clear"/>
            <w:vAlign w:val="center"/>
          </w:tcPr>
          <w:p w14:paraId="97000000">
            <w:pPr>
              <w:pStyle w:val="Style_3"/>
              <w:spacing w:after="0" w:before="0" w:line="276" w:lineRule="auto"/>
              <w:ind w:firstLine="709" w:left="0"/>
              <w:jc w:val="center"/>
              <w:rPr>
                <w:sz w:val="28"/>
              </w:rPr>
            </w:pPr>
          </w:p>
        </w:tc>
        <w:tc>
          <w:tcPr>
            <w:tcW w:type="dxa" w:w="1808"/>
            <w:tcBorders>
              <w:top w:sz="4" w:val="nil"/>
              <w:left w:sz="4" w:val="nil"/>
              <w:bottom w:color="000000" w:sz="8" w:val="single"/>
              <w:right w:color="000000" w:sz="8" w:val="single"/>
            </w:tcBorders>
            <w:shd w:fill="auto" w:val="clear"/>
            <w:vAlign w:val="center"/>
          </w:tcPr>
          <w:p w14:paraId="98000000">
            <w:pPr>
              <w:pStyle w:val="Style_3"/>
              <w:spacing w:after="0" w:before="0" w:line="276" w:lineRule="auto"/>
              <w:ind w:firstLine="709" w:left="0"/>
              <w:jc w:val="center"/>
              <w:rPr>
                <w:sz w:val="28"/>
              </w:rPr>
            </w:pPr>
          </w:p>
        </w:tc>
      </w:tr>
      <w:tr>
        <w:trPr>
          <w:trHeight w:hRule="atLeast" w:val="705"/>
        </w:trPr>
        <w:tc>
          <w:tcPr>
            <w:tcW w:type="dxa" w:w="5388"/>
            <w:tcBorders>
              <w:top w:sz="4" w:val="nil"/>
              <w:left w:color="000000" w:sz="8" w:val="single"/>
              <w:bottom w:color="000000" w:sz="8" w:val="single"/>
              <w:right w:color="000000" w:sz="8" w:val="single"/>
            </w:tcBorders>
            <w:shd w:fill="auto" w:val="clear"/>
          </w:tcPr>
          <w:p w14:paraId="99000000">
            <w:pPr>
              <w:pStyle w:val="Style_3"/>
              <w:spacing w:after="0" w:before="0" w:line="276" w:lineRule="auto"/>
              <w:ind/>
              <w:rPr>
                <w:sz w:val="28"/>
              </w:rPr>
            </w:pPr>
            <w:r>
              <w:rPr>
                <w:sz w:val="28"/>
              </w:rPr>
              <w:t>Среднемесячная номинальная начисленная заработная плата по полному кругу предприятий и организаций, рублей (январь-октябрь)</w:t>
            </w:r>
          </w:p>
        </w:tc>
        <w:tc>
          <w:tcPr>
            <w:tcW w:type="dxa" w:w="1559"/>
            <w:tcBorders>
              <w:top w:sz="4" w:val="nil"/>
              <w:left w:sz="4" w:val="nil"/>
              <w:bottom w:color="000000" w:sz="8" w:val="single"/>
              <w:right w:color="000000" w:sz="8" w:val="single"/>
            </w:tcBorders>
            <w:shd w:fill="auto" w:val="clear"/>
            <w:vAlign w:val="center"/>
          </w:tcPr>
          <w:p w14:paraId="9A000000">
            <w:pPr>
              <w:pStyle w:val="Style_3"/>
              <w:spacing w:after="0" w:before="0" w:line="276" w:lineRule="auto"/>
              <w:ind/>
              <w:jc w:val="center"/>
              <w:rPr>
                <w:sz w:val="28"/>
              </w:rPr>
            </w:pPr>
            <w:r>
              <w:rPr>
                <w:sz w:val="28"/>
              </w:rPr>
              <w:t>39 942,3</w:t>
            </w:r>
          </w:p>
        </w:tc>
        <w:tc>
          <w:tcPr>
            <w:tcW w:type="dxa" w:w="1559"/>
            <w:tcBorders>
              <w:top w:sz="4" w:val="nil"/>
              <w:left w:sz="4" w:val="nil"/>
              <w:bottom w:color="000000" w:sz="8" w:val="single"/>
              <w:right w:color="000000" w:sz="8" w:val="single"/>
            </w:tcBorders>
            <w:shd w:fill="auto" w:val="clear"/>
            <w:vAlign w:val="center"/>
          </w:tcPr>
          <w:p w14:paraId="9B000000">
            <w:pPr>
              <w:pStyle w:val="Style_3"/>
              <w:spacing w:after="0" w:before="0" w:line="276" w:lineRule="auto"/>
              <w:ind/>
              <w:jc w:val="center"/>
              <w:rPr>
                <w:sz w:val="28"/>
              </w:rPr>
            </w:pPr>
            <w:r>
              <w:rPr>
                <w:sz w:val="28"/>
              </w:rPr>
              <w:t>37 106,4</w:t>
            </w:r>
          </w:p>
        </w:tc>
        <w:tc>
          <w:tcPr>
            <w:tcW w:type="dxa" w:w="1808"/>
            <w:tcBorders>
              <w:top w:sz="4" w:val="nil"/>
              <w:left w:sz="4" w:val="nil"/>
              <w:bottom w:color="000000" w:sz="8" w:val="single"/>
              <w:right w:color="000000" w:sz="8" w:val="single"/>
            </w:tcBorders>
            <w:shd w:fill="auto" w:val="clear"/>
            <w:vAlign w:val="center"/>
          </w:tcPr>
          <w:p w14:paraId="9C000000">
            <w:pPr>
              <w:pStyle w:val="Style_3"/>
              <w:spacing w:after="0" w:before="0" w:line="276" w:lineRule="auto"/>
              <w:ind/>
              <w:jc w:val="center"/>
              <w:rPr>
                <w:sz w:val="28"/>
              </w:rPr>
            </w:pPr>
            <w:r>
              <w:rPr>
                <w:sz w:val="28"/>
              </w:rPr>
              <w:t>107,6</w:t>
            </w:r>
          </w:p>
        </w:tc>
      </w:tr>
      <w:tr>
        <w:trPr>
          <w:trHeight w:hRule="atLeast" w:val="266"/>
        </w:trPr>
        <w:tc>
          <w:tcPr>
            <w:tcW w:type="dxa" w:w="5388"/>
            <w:tcBorders>
              <w:top w:sz="4" w:val="nil"/>
              <w:left w:color="000000" w:sz="8" w:val="single"/>
              <w:bottom w:color="000000" w:sz="8" w:val="single"/>
              <w:right w:color="000000" w:sz="8" w:val="single"/>
            </w:tcBorders>
            <w:shd w:fill="auto" w:val="clear"/>
          </w:tcPr>
          <w:p w14:paraId="9D000000">
            <w:pPr>
              <w:pStyle w:val="Style_3"/>
              <w:spacing w:after="0" w:before="0" w:line="276" w:lineRule="auto"/>
              <w:ind/>
              <w:rPr>
                <w:sz w:val="28"/>
              </w:rPr>
            </w:pPr>
            <w:r>
              <w:rPr>
                <w:sz w:val="28"/>
              </w:rPr>
              <w:t>Среднемесячная номинальная начисленная заработная плата работников крупных и средних предприятий, рублей (январь-ноябрь)</w:t>
            </w:r>
          </w:p>
        </w:tc>
        <w:tc>
          <w:tcPr>
            <w:tcW w:type="dxa" w:w="1559"/>
            <w:tcBorders>
              <w:top w:sz="4" w:val="nil"/>
              <w:left w:sz="4" w:val="nil"/>
              <w:bottom w:color="000000" w:sz="8" w:val="single"/>
              <w:right w:color="000000" w:sz="8" w:val="single"/>
            </w:tcBorders>
            <w:shd w:fill="auto" w:val="clear"/>
            <w:vAlign w:val="center"/>
          </w:tcPr>
          <w:p w14:paraId="9E000000">
            <w:pPr>
              <w:pStyle w:val="Style_3"/>
              <w:spacing w:after="0" w:before="0" w:line="276" w:lineRule="auto"/>
              <w:ind/>
              <w:jc w:val="center"/>
              <w:rPr>
                <w:sz w:val="28"/>
              </w:rPr>
            </w:pPr>
            <w:r>
              <w:rPr>
                <w:sz w:val="28"/>
              </w:rPr>
              <w:t>45 835,9</w:t>
            </w:r>
          </w:p>
        </w:tc>
        <w:tc>
          <w:tcPr>
            <w:tcW w:type="dxa" w:w="1559"/>
            <w:tcBorders>
              <w:top w:sz="4" w:val="nil"/>
              <w:left w:sz="4" w:val="nil"/>
              <w:bottom w:color="000000" w:sz="8" w:val="single"/>
              <w:right w:color="000000" w:sz="8" w:val="single"/>
            </w:tcBorders>
            <w:shd w:fill="auto" w:val="clear"/>
            <w:vAlign w:val="center"/>
          </w:tcPr>
          <w:p w14:paraId="9F000000">
            <w:pPr>
              <w:pStyle w:val="Style_3"/>
              <w:spacing w:after="0" w:before="0" w:line="276" w:lineRule="auto"/>
              <w:ind/>
              <w:jc w:val="center"/>
              <w:rPr>
                <w:sz w:val="28"/>
              </w:rPr>
            </w:pPr>
            <w:r>
              <w:rPr>
                <w:sz w:val="28"/>
              </w:rPr>
              <w:t>42 078,1</w:t>
            </w:r>
          </w:p>
        </w:tc>
        <w:tc>
          <w:tcPr>
            <w:tcW w:type="dxa" w:w="1808"/>
            <w:tcBorders>
              <w:top w:sz="4" w:val="nil"/>
              <w:left w:sz="4" w:val="nil"/>
              <w:bottom w:color="000000" w:sz="8" w:val="single"/>
              <w:right w:color="000000" w:sz="8" w:val="single"/>
            </w:tcBorders>
            <w:shd w:fill="auto" w:val="clear"/>
            <w:vAlign w:val="center"/>
          </w:tcPr>
          <w:p w14:paraId="A0000000">
            <w:pPr>
              <w:pStyle w:val="Style_3"/>
              <w:spacing w:after="0" w:before="0" w:line="276" w:lineRule="auto"/>
              <w:ind/>
              <w:jc w:val="center"/>
              <w:rPr>
                <w:sz w:val="28"/>
              </w:rPr>
            </w:pPr>
            <w:r>
              <w:rPr>
                <w:sz w:val="28"/>
              </w:rPr>
              <w:t>109,0</w:t>
            </w:r>
          </w:p>
        </w:tc>
      </w:tr>
    </w:tbl>
    <w:p w14:paraId="A1000000">
      <w:pPr>
        <w:widowControl w:val="0"/>
        <w:ind w:firstLine="709" w:left="0"/>
        <w:jc w:val="both"/>
        <w:rPr>
          <w:rFonts w:ascii="Times New Roman" w:hAnsi="Times New Roman"/>
          <w:sz w:val="28"/>
          <w:vertAlign w:val="superscript"/>
        </w:rPr>
      </w:pPr>
      <w:r>
        <w:rPr>
          <w:rFonts w:ascii="Times New Roman" w:hAnsi="Times New Roman"/>
          <w:b w:val="1"/>
          <w:sz w:val="28"/>
        </w:rPr>
        <w:t>*</w:t>
      </w:r>
      <w:r>
        <w:rPr>
          <w:rFonts w:ascii="Times New Roman" w:hAnsi="Times New Roman"/>
          <w:sz w:val="28"/>
          <w:vertAlign w:val="superscript"/>
        </w:rPr>
        <w:t xml:space="preserve"> оперативные данные</w:t>
      </w:r>
    </w:p>
    <w:p w14:paraId="A2000000">
      <w:pPr>
        <w:spacing w:after="0" w:line="240" w:lineRule="auto"/>
        <w:ind w:firstLine="708" w:left="0"/>
        <w:jc w:val="both"/>
        <w:rPr>
          <w:rFonts w:ascii="Times New Roman" w:hAnsi="Times New Roman"/>
          <w:sz w:val="28"/>
        </w:rPr>
      </w:pPr>
      <w:r>
        <w:rPr>
          <w:rFonts w:ascii="Times New Roman" w:hAnsi="Times New Roman"/>
          <w:b w:val="1"/>
          <w:sz w:val="28"/>
        </w:rPr>
        <w:t>За январь - ноябрь 2021</w:t>
      </w:r>
      <w:r>
        <w:rPr>
          <w:rFonts w:ascii="Times New Roman" w:hAnsi="Times New Roman"/>
          <w:sz w:val="28"/>
        </w:rPr>
        <w:t xml:space="preserve"> года крупными и средними предприятиями города всех видов экономической деятельности отгружено товаров собственного производства на сумму 119,2 млрд рублей, что в действующих ценах на 22,9% больше, чем годом ранее. </w:t>
      </w:r>
    </w:p>
    <w:p w14:paraId="A3000000">
      <w:pPr>
        <w:spacing w:after="0" w:line="240" w:lineRule="auto"/>
        <w:ind w:firstLine="708" w:left="0"/>
        <w:jc w:val="both"/>
        <w:rPr>
          <w:rFonts w:ascii="Times New Roman" w:hAnsi="Times New Roman"/>
          <w:sz w:val="28"/>
        </w:rPr>
      </w:pPr>
      <w:r>
        <w:rPr>
          <w:rFonts w:ascii="Times New Roman" w:hAnsi="Times New Roman"/>
          <w:sz w:val="28"/>
        </w:rPr>
        <w:t>Предприятия промышленности составляют 94,2% в общем объеме производства.</w:t>
      </w:r>
    </w:p>
    <w:p w14:paraId="A4000000">
      <w:pPr>
        <w:spacing w:after="0" w:line="240" w:lineRule="auto"/>
        <w:ind w:firstLine="708" w:left="0"/>
        <w:jc w:val="both"/>
        <w:rPr>
          <w:rFonts w:ascii="Times New Roman" w:hAnsi="Times New Roman"/>
          <w:sz w:val="28"/>
        </w:rPr>
      </w:pPr>
      <w:r>
        <w:rPr>
          <w:rFonts w:ascii="Times New Roman" w:hAnsi="Times New Roman"/>
          <w:sz w:val="28"/>
        </w:rPr>
        <w:t>Крупными и средними предприятиями обрабатывающих производств в январе - ноябре 2021 года отгружено товаров собственного производства на 41,8 млрд рублей и обеспечено 37,2% совокупного объема отгруженной промышленной продукции. Объем производства предприятий обрабатывающих производств увеличился на 79,2 % к соответствующему периоду 2020года.</w:t>
      </w:r>
    </w:p>
    <w:p w14:paraId="A5000000">
      <w:pPr>
        <w:spacing w:after="0" w:line="240" w:lineRule="auto"/>
        <w:ind w:firstLine="708" w:left="0"/>
        <w:jc w:val="both"/>
        <w:rPr>
          <w:rFonts w:ascii="Times New Roman" w:hAnsi="Times New Roman"/>
          <w:sz w:val="28"/>
        </w:rPr>
      </w:pPr>
      <w:r>
        <w:rPr>
          <w:rFonts w:ascii="Times New Roman" w:hAnsi="Times New Roman"/>
          <w:sz w:val="28"/>
        </w:rPr>
        <w:t xml:space="preserve">Положительная динамика отмечена во всех направлениях. Наибольший рост отмечен по следующим видам экономической деятельности: «Производство машин и оборудования, не включенных в другие группировки» (в 5,4 раз) (ООО «МТМ», Ростовский филиал «РЭД ВИНД Б.В.»), «Производство готовых металлических изделий, кроме машин и оборудования» (на 68,4%) (АО «Атоммашэкспорт», ООО «Атомспецсервис», филиал АО «АЭМ-технологии» «Атоммаш» в г.Волгодонск, ООО «Пром-Энерго-Комплект», ООО «Полесье»), «Производство прочей неметаллической минеральной продукции» (на 59,4%) (ОАО «Завод КПД 210»), «Производство компьютеров, электронных и оптических изделий» (на 46,9%) (ООО «Топаз-сервис», ЗАО НПК «Эталон»), «Производство транспортных средств, прицепов и полуприцепов» (на 36,3%) (ООО «УК «АЛПАС»), «Ремонт и монтаж машин и оборудования» (на 32,8%) (ООО фирма «Монрем»). «Производство пищевых продуктов» (на 16,4%) (ООО «Ванта»), «Производство химических веществ и химических продуктов» (на 15,8%) (ООО НПО «НИИПАВ»), «Производство мебели» (на 15,2%) (ООО «Алмаз», ООО «Дриада»). </w:t>
      </w:r>
    </w:p>
    <w:p w14:paraId="A6000000">
      <w:pPr>
        <w:spacing w:after="0" w:line="240" w:lineRule="auto"/>
        <w:ind w:firstLine="708" w:left="0"/>
        <w:jc w:val="both"/>
        <w:rPr>
          <w:rFonts w:ascii="Times New Roman" w:hAnsi="Times New Roman"/>
          <w:sz w:val="28"/>
        </w:rPr>
      </w:pPr>
      <w:r>
        <w:rPr>
          <w:rFonts w:ascii="Times New Roman" w:hAnsi="Times New Roman"/>
          <w:sz w:val="28"/>
        </w:rPr>
        <w:t xml:space="preserve">Крупными и средними предприятиями города с видом деятельности «Обеспечение электрической энергией, газом и паром; кондиционирование воздуха» в январе-ноябре 2021 года отгружено продукции на 70,4 млрд рублей, что на 4,6% больше, чем за соответствующий период 2020 года. Эти предприятия формируют 62,7% объема отгруженной промышленной продукции. </w:t>
      </w:r>
    </w:p>
    <w:p w14:paraId="A7000000">
      <w:pPr>
        <w:spacing w:after="0" w:line="240" w:lineRule="auto"/>
        <w:ind w:firstLine="708" w:left="0"/>
        <w:jc w:val="both"/>
        <w:rPr>
          <w:rFonts w:ascii="Times New Roman" w:hAnsi="Times New Roman"/>
          <w:sz w:val="28"/>
        </w:rPr>
      </w:pPr>
      <w:r>
        <w:rPr>
          <w:rFonts w:ascii="Times New Roman" w:hAnsi="Times New Roman"/>
          <w:sz w:val="28"/>
        </w:rPr>
        <w:t>По оценочным данным, индекс промышленного производства по полному кругу предприятий и организаций города составил 99,4% (по Ростовской области 110,5%).</w:t>
      </w:r>
    </w:p>
    <w:p w14:paraId="A8000000">
      <w:pPr>
        <w:spacing w:after="0" w:line="240" w:lineRule="auto"/>
        <w:ind w:firstLine="708" w:left="0"/>
        <w:jc w:val="both"/>
        <w:rPr>
          <w:rFonts w:ascii="Times New Roman" w:hAnsi="Times New Roman"/>
          <w:sz w:val="28"/>
        </w:rPr>
      </w:pPr>
      <w:r>
        <w:rPr>
          <w:rFonts w:ascii="Times New Roman" w:hAnsi="Times New Roman"/>
          <w:sz w:val="28"/>
        </w:rPr>
        <w:t xml:space="preserve">Десять предприятий города Волгодонска участвуют в региональном проекте «Производительность труда и поддержка занятости». </w:t>
      </w:r>
    </w:p>
    <w:p w14:paraId="A9000000">
      <w:pPr>
        <w:pStyle w:val="Style_5"/>
        <w:spacing w:after="0" w:before="0"/>
        <w:ind w:firstLine="708" w:left="0"/>
        <w:jc w:val="both"/>
        <w:rPr>
          <w:sz w:val="28"/>
        </w:rPr>
      </w:pPr>
      <w:r>
        <w:rPr>
          <w:b w:val="1"/>
          <w:sz w:val="28"/>
        </w:rPr>
        <w:t>Потребительский рынок</w:t>
      </w:r>
      <w:r>
        <w:rPr>
          <w:sz w:val="28"/>
        </w:rPr>
        <w:t xml:space="preserve"> города в 2021 году продолжал функционировать в условиях пандемии коронавируса, при выполнении особых санитарных требований и ограничений деятельности предприятий.</w:t>
      </w:r>
    </w:p>
    <w:p w14:paraId="AA000000">
      <w:pPr>
        <w:pStyle w:val="Style_5"/>
        <w:spacing w:after="0" w:before="0"/>
        <w:ind w:firstLine="708" w:left="0"/>
        <w:jc w:val="both"/>
        <w:rPr>
          <w:b w:val="1"/>
          <w:sz w:val="28"/>
          <w:highlight w:val="white"/>
        </w:rPr>
      </w:pPr>
      <w:r>
        <w:rPr>
          <w:sz w:val="28"/>
        </w:rPr>
        <w:t xml:space="preserve"> В целом, ситуация в сфере торговли оставалась стабильной, население города в полном объеме обеспечивалось всеми необходимыми товарами и услугами. </w:t>
      </w:r>
      <w:r>
        <w:rPr>
          <w:sz w:val="28"/>
          <w:highlight w:val="white"/>
        </w:rPr>
        <w:t xml:space="preserve">По итогам 9 месяцев оборот </w:t>
      </w:r>
      <w:r>
        <w:rPr>
          <w:sz w:val="28"/>
        </w:rPr>
        <w:t>розничной торговли</w:t>
      </w:r>
      <w:r>
        <w:rPr>
          <w:sz w:val="28"/>
          <w:highlight w:val="white"/>
        </w:rPr>
        <w:t xml:space="preserve"> составил 37,1 млрд</w:t>
      </w:r>
      <w:r>
        <w:rPr>
          <w:sz w:val="28"/>
          <w:highlight w:val="white"/>
        </w:rPr>
        <w:t xml:space="preserve"> </w:t>
      </w:r>
      <w:r>
        <w:rPr>
          <w:sz w:val="28"/>
          <w:highlight w:val="white"/>
        </w:rPr>
        <w:t>рублей, что в сопоставимых ценах - 125% к соответствующему  периоду 2020 года</w:t>
      </w:r>
      <w:r>
        <w:rPr>
          <w:b w:val="1"/>
          <w:sz w:val="28"/>
          <w:highlight w:val="white"/>
        </w:rPr>
        <w:t>.</w:t>
      </w:r>
    </w:p>
    <w:p w14:paraId="AB000000">
      <w:pPr>
        <w:pStyle w:val="Style_5"/>
        <w:spacing w:after="0" w:before="0"/>
        <w:ind w:firstLine="708" w:left="0"/>
        <w:jc w:val="both"/>
        <w:rPr>
          <w:sz w:val="28"/>
        </w:rPr>
      </w:pPr>
      <w:r>
        <w:rPr>
          <w:sz w:val="28"/>
          <w:highlight w:val="white"/>
        </w:rPr>
        <w:t>Оборот розничной торговли на 92,6</w:t>
      </w:r>
      <w:r>
        <w:rPr>
          <w:sz w:val="28"/>
          <w:highlight w:val="white"/>
        </w:rPr>
        <w:t>%</w:t>
      </w:r>
      <w:r>
        <w:rPr>
          <w:sz w:val="28"/>
          <w:highlight w:val="white"/>
        </w:rPr>
        <w:t xml:space="preserve"> формировался торгующими организациями, доля продажи товаров на розничных рынках и ярмарках составила 7,4</w:t>
      </w:r>
      <w:r>
        <w:rPr>
          <w:sz w:val="28"/>
          <w:highlight w:val="white"/>
        </w:rPr>
        <w:t>%</w:t>
      </w:r>
      <w:r>
        <w:rPr>
          <w:sz w:val="28"/>
          <w:highlight w:val="white"/>
        </w:rPr>
        <w:t xml:space="preserve">. </w:t>
      </w:r>
    </w:p>
    <w:p w14:paraId="AC000000">
      <w:pPr>
        <w:pStyle w:val="Style_5"/>
        <w:spacing w:after="0" w:before="0"/>
        <w:ind w:firstLine="708" w:left="0"/>
        <w:jc w:val="both"/>
        <w:rPr>
          <w:sz w:val="28"/>
          <w:highlight w:val="white"/>
        </w:rPr>
      </w:pPr>
      <w:r>
        <w:rPr>
          <w:sz w:val="28"/>
          <w:highlight w:val="white"/>
        </w:rPr>
        <w:t xml:space="preserve">Торговлю на территории города осуществляют более 1,5 тыс. предприятий с торговой площадью 153,5 тыс. кв. метров. Обеспеченность жителей площадями стационарных торговых объектов в 1,4 раза превышает установленный норматив и составляет 895 кв. метров на 1000 жителей. </w:t>
      </w:r>
    </w:p>
    <w:p w14:paraId="AD000000">
      <w:pPr>
        <w:pStyle w:val="Style_5"/>
        <w:spacing w:after="0" w:before="0"/>
        <w:ind w:firstLine="708" w:left="0"/>
        <w:jc w:val="both"/>
        <w:rPr>
          <w:sz w:val="28"/>
          <w:highlight w:val="white"/>
        </w:rPr>
      </w:pPr>
      <w:r>
        <w:rPr>
          <w:sz w:val="28"/>
          <w:highlight w:val="white"/>
        </w:rPr>
        <w:t>В 2021 году открыто 11 новых стационарных объектов общей торговой площадью более 5000 кв.м («Тутси», «Fix Prise», «Магнит у дома», «Пятерочка», «Про море», «Вкусы Беларуссии», «Big Shop», «Чудо Остров», «Техноавиа», мебельный центр «Рио», комплекс продовольственных магазинов).</w:t>
      </w:r>
    </w:p>
    <w:p w14:paraId="AE000000">
      <w:pPr>
        <w:pStyle w:val="Style_5"/>
        <w:spacing w:after="0" w:before="0"/>
        <w:ind w:firstLine="708" w:left="0"/>
        <w:jc w:val="both"/>
        <w:rPr>
          <w:sz w:val="28"/>
          <w:highlight w:val="white"/>
        </w:rPr>
      </w:pPr>
      <w:r>
        <w:rPr>
          <w:sz w:val="28"/>
          <w:highlight w:val="white"/>
        </w:rPr>
        <w:t xml:space="preserve">Оборот розничной торговли на душу населения сложился в сумме 218,6 тыс. рублей. </w:t>
      </w:r>
    </w:p>
    <w:p w14:paraId="AF000000">
      <w:pPr>
        <w:pStyle w:val="Style_5"/>
        <w:spacing w:after="0" w:before="0"/>
        <w:ind w:firstLine="708" w:left="0"/>
        <w:jc w:val="both"/>
        <w:rPr>
          <w:sz w:val="28"/>
          <w:highlight w:val="white"/>
        </w:rPr>
      </w:pPr>
      <w:r>
        <w:rPr>
          <w:sz w:val="28"/>
          <w:highlight w:val="white"/>
        </w:rPr>
        <w:t>Основной площадкой для реализации продукции сельскохозяйственных товаропроизводителей остаются рынки и ярмарки. В городе функционирует 4 розничных рынка на 606 торговых мест, более 80 процентов из них предназначены для продажи продовольственной и сельскохозяйственной продукции.</w:t>
      </w:r>
    </w:p>
    <w:p w14:paraId="B0000000">
      <w:pPr>
        <w:pStyle w:val="Style_5"/>
        <w:spacing w:after="0" w:before="0"/>
        <w:ind w:firstLine="708" w:left="0"/>
        <w:jc w:val="both"/>
        <w:rPr>
          <w:sz w:val="28"/>
          <w:highlight w:val="white"/>
        </w:rPr>
      </w:pPr>
      <w:r>
        <w:rPr>
          <w:sz w:val="28"/>
          <w:highlight w:val="white"/>
        </w:rPr>
        <w:t>Организована деятельность 4 ярмарок на 471 торговое место, в том числе 178 мест используется для реализации овощей и фруктов.</w:t>
      </w:r>
    </w:p>
    <w:p w14:paraId="B1000000">
      <w:pPr>
        <w:pStyle w:val="Style_5"/>
        <w:spacing w:after="0" w:before="0"/>
        <w:ind w:firstLine="708" w:left="0"/>
        <w:jc w:val="both"/>
        <w:rPr>
          <w:sz w:val="28"/>
          <w:highlight w:val="white"/>
        </w:rPr>
      </w:pPr>
      <w:r>
        <w:rPr>
          <w:sz w:val="28"/>
          <w:highlight w:val="white"/>
        </w:rPr>
        <w:t>Проведено 9 муниципальных ярмарок «выходного дня» с бесплатным предоставлением мест, в которых приняли участие более 100 местных производителей.</w:t>
      </w:r>
    </w:p>
    <w:p w14:paraId="B2000000">
      <w:pPr>
        <w:pStyle w:val="Style_5"/>
        <w:spacing w:after="0" w:before="0"/>
        <w:ind w:firstLine="708" w:left="0"/>
        <w:jc w:val="both"/>
        <w:rPr>
          <w:sz w:val="28"/>
          <w:highlight w:val="white"/>
        </w:rPr>
      </w:pPr>
      <w:r>
        <w:rPr>
          <w:sz w:val="28"/>
          <w:highlight w:val="white"/>
        </w:rPr>
        <w:t>В летний период для дачников и садоводов на рынках и ярмарках было оборудовано более 200 дополнительных сезонных мест, предоставляемых по льготному тарифу. В микрорайонах города функционировало 15 сезонных площадок по продаже овощей, фруктов, бахчевых культур.</w:t>
      </w:r>
    </w:p>
    <w:p w14:paraId="B3000000">
      <w:pPr>
        <w:pStyle w:val="Style_5"/>
        <w:spacing w:after="0" w:before="0"/>
        <w:ind w:firstLine="708" w:left="0"/>
        <w:jc w:val="both"/>
        <w:rPr>
          <w:sz w:val="28"/>
          <w:highlight w:val="white"/>
        </w:rPr>
      </w:pPr>
      <w:r>
        <w:rPr>
          <w:sz w:val="28"/>
          <w:highlight w:val="white"/>
        </w:rPr>
        <w:t>В сфере общественного питания, инфраструктуру которой на 70% составляют общедоступные предприятия открытой сети, также наблюдалась тенденция положительного развития.</w:t>
      </w:r>
    </w:p>
    <w:p w14:paraId="B4000000">
      <w:pPr>
        <w:pStyle w:val="Style_5"/>
        <w:spacing w:after="0" w:before="0"/>
        <w:ind w:firstLine="708" w:left="0"/>
        <w:jc w:val="both"/>
        <w:rPr>
          <w:sz w:val="28"/>
          <w:highlight w:val="white"/>
        </w:rPr>
      </w:pPr>
      <w:r>
        <w:rPr>
          <w:sz w:val="28"/>
          <w:highlight w:val="white"/>
        </w:rPr>
        <w:t>За 9 месяцев предприятия общественного питания предоставили услуг населению на сумму 1,37 млрд рублей, что составляет 125 % к  уровню прошлого года.</w:t>
      </w:r>
    </w:p>
    <w:p w14:paraId="B5000000">
      <w:pPr>
        <w:pStyle w:val="Style_5"/>
        <w:spacing w:after="0" w:before="0"/>
        <w:ind w:firstLine="708" w:left="0"/>
        <w:jc w:val="both"/>
        <w:rPr>
          <w:sz w:val="28"/>
          <w:highlight w:val="white"/>
        </w:rPr>
      </w:pPr>
      <w:r>
        <w:rPr>
          <w:sz w:val="28"/>
          <w:highlight w:val="white"/>
        </w:rPr>
        <w:t>По показателю оборота общественного питания на душу населения, который сложился в сумме 8 тыс. рублей, город занимает 3 место среди муниципальных образований Ростовской области.</w:t>
      </w:r>
    </w:p>
    <w:p w14:paraId="B6000000">
      <w:pPr>
        <w:pStyle w:val="Style_5"/>
        <w:spacing w:after="0" w:before="0"/>
        <w:ind w:firstLine="708" w:left="0"/>
        <w:jc w:val="both"/>
        <w:rPr>
          <w:sz w:val="28"/>
          <w:highlight w:val="white"/>
        </w:rPr>
      </w:pPr>
      <w:r>
        <w:rPr>
          <w:sz w:val="28"/>
          <w:highlight w:val="white"/>
        </w:rPr>
        <w:t>Показатель обеспеченности посадочными местами в предприятиях открытой сети выше среднеобластного значения на 4% и составляет 47 п/м на 1000 жителей.</w:t>
      </w:r>
    </w:p>
    <w:p w14:paraId="B7000000">
      <w:pPr>
        <w:pStyle w:val="Style_5"/>
        <w:spacing w:after="0" w:before="0"/>
        <w:ind w:firstLine="708" w:left="0"/>
        <w:jc w:val="both"/>
        <w:rPr>
          <w:sz w:val="28"/>
          <w:highlight w:val="white"/>
        </w:rPr>
      </w:pPr>
      <w:r>
        <w:rPr>
          <w:sz w:val="28"/>
          <w:highlight w:val="white"/>
        </w:rPr>
        <w:t>В отчетном периоде открыто 4 новых современных кафе, в том числе с национальной кухней, на 82 посадочных места («Мангольд», «Клюква», «Гурман House», «Масисо»).</w:t>
      </w:r>
    </w:p>
    <w:p w14:paraId="B8000000">
      <w:pPr>
        <w:pStyle w:val="Style_5"/>
        <w:spacing w:after="0" w:before="0"/>
        <w:ind w:firstLine="708" w:left="0"/>
        <w:jc w:val="both"/>
        <w:rPr>
          <w:sz w:val="28"/>
          <w:highlight w:val="white"/>
        </w:rPr>
      </w:pPr>
      <w:r>
        <w:rPr>
          <w:sz w:val="28"/>
          <w:highlight w:val="white"/>
        </w:rPr>
        <w:t xml:space="preserve">Несмотря на сложные условия, в которых пришлось работать предприятиям, некоторые сегменты бизнеса сумели получить новый импульс развития и привлечь новую аудиторию потребителей путем открытия интернет-магазинов, оказания дистанционных услуг, доставки товаров на дом и в офисы, развития онлайн сервисов и др. </w:t>
      </w:r>
    </w:p>
    <w:p w14:paraId="B9000000">
      <w:pPr>
        <w:pStyle w:val="Style_5"/>
        <w:spacing w:after="0" w:before="0"/>
        <w:ind w:firstLine="708" w:left="0"/>
        <w:jc w:val="both"/>
        <w:rPr>
          <w:sz w:val="28"/>
          <w:highlight w:val="white"/>
        </w:rPr>
      </w:pPr>
      <w:r>
        <w:rPr>
          <w:sz w:val="28"/>
          <w:highlight w:val="white"/>
        </w:rPr>
        <w:t>Сфера потребительского рынка имеет достаточный потенциал для дальнейшего динамичного развития. В стадии строительства и реконструкции находится 42 объекта торговли и услуг.</w:t>
      </w:r>
    </w:p>
    <w:p w14:paraId="BA000000">
      <w:pPr>
        <w:pStyle w:val="Style_5"/>
        <w:spacing w:after="0" w:before="0"/>
        <w:ind w:firstLine="708" w:left="0"/>
        <w:jc w:val="both"/>
        <w:rPr>
          <w:sz w:val="28"/>
          <w:highlight w:val="white"/>
        </w:rPr>
      </w:pPr>
      <w:r>
        <w:rPr>
          <w:sz w:val="28"/>
          <w:highlight w:val="white"/>
        </w:rPr>
        <w:t>По оценке</w:t>
      </w:r>
      <w:r>
        <w:rPr>
          <w:sz w:val="28"/>
          <w:highlight w:val="white"/>
        </w:rPr>
        <w:t>,</w:t>
      </w:r>
      <w:r>
        <w:rPr>
          <w:sz w:val="28"/>
          <w:highlight w:val="white"/>
        </w:rPr>
        <w:t xml:space="preserve"> объем инвестиций в основной капитал по крупным и средним предприятиям за 12 месяцев 2021 года составил 11,2 млрд рублей</w:t>
      </w:r>
      <w:r>
        <w:rPr>
          <w:sz w:val="28"/>
          <w:highlight w:val="white"/>
        </w:rPr>
        <w:t>, что выше 2020 года на 9,8%</w:t>
      </w:r>
      <w:r>
        <w:rPr>
          <w:sz w:val="28"/>
          <w:highlight w:val="white"/>
        </w:rPr>
        <w:t>.</w:t>
      </w:r>
    </w:p>
    <w:p w14:paraId="BB000000">
      <w:pPr>
        <w:pStyle w:val="Style_5"/>
        <w:spacing w:after="0" w:before="0"/>
        <w:ind w:firstLine="708" w:left="0"/>
        <w:jc w:val="both"/>
        <w:rPr>
          <w:sz w:val="28"/>
          <w:highlight w:val="white"/>
        </w:rPr>
      </w:pPr>
      <w:r>
        <w:rPr>
          <w:sz w:val="28"/>
          <w:highlight w:val="white"/>
        </w:rPr>
        <w:t>В отчетном году завершены и введены в эксплуатацию 3 инвестиционных проекта:</w:t>
      </w:r>
    </w:p>
    <w:p w14:paraId="BC000000">
      <w:pPr>
        <w:pStyle w:val="Style_5"/>
        <w:spacing w:after="0" w:before="0"/>
        <w:ind w:firstLine="708" w:left="0"/>
        <w:jc w:val="both"/>
        <w:rPr>
          <w:sz w:val="28"/>
        </w:rPr>
      </w:pPr>
      <w:r>
        <w:rPr>
          <w:sz w:val="28"/>
          <w:highlight w:val="white"/>
        </w:rPr>
        <w:t>- «Реконструкция системы технического</w:t>
      </w:r>
      <w:r>
        <w:rPr>
          <w:sz w:val="28"/>
        </w:rPr>
        <w:t xml:space="preserve"> водоснабжения. Сооружение вентиляторных градирен для совместной работы с БИГ энергоблока № 3 Ростовской АЭС. Необходимость обеспечения работы энергоблока № 3 Ростовской АЭС в летний период на установленной мощности 1000-Мвт/час, инвестор - Ростовская АЭС – объем инвестиций около 1млрд рублей;</w:t>
      </w:r>
    </w:p>
    <w:p w14:paraId="BD000000">
      <w:pPr>
        <w:spacing w:after="0"/>
        <w:ind w:firstLine="709" w:left="0"/>
        <w:contextualSpacing w:val="1"/>
        <w:jc w:val="both"/>
        <w:rPr>
          <w:rFonts w:ascii="Times New Roman" w:hAnsi="Times New Roman"/>
          <w:sz w:val="28"/>
        </w:rPr>
      </w:pPr>
      <w:r>
        <w:rPr>
          <w:rFonts w:ascii="Times New Roman" w:hAnsi="Times New Roman"/>
          <w:sz w:val="28"/>
        </w:rPr>
        <w:t>- «Строительство производственного корпуса», инвестор ООО «Ванта» объем инвестиций более 120 млн рублей;</w:t>
      </w:r>
    </w:p>
    <w:p w14:paraId="BE000000">
      <w:pPr>
        <w:spacing w:after="0"/>
        <w:ind w:firstLine="709" w:left="0"/>
        <w:contextualSpacing w:val="1"/>
        <w:jc w:val="both"/>
        <w:rPr>
          <w:rFonts w:ascii="Times New Roman" w:hAnsi="Times New Roman"/>
          <w:sz w:val="28"/>
        </w:rPr>
      </w:pPr>
      <w:r>
        <w:rPr>
          <w:rFonts w:ascii="Times New Roman" w:hAnsi="Times New Roman"/>
          <w:sz w:val="28"/>
        </w:rPr>
        <w:t>-  «Реконструкция привокзальной площади», проект реализованный в рамках концессионного соглашения, инвестор ООО «Волгодонский автовокзал» объем инвестиций более 100 млн рублей.</w:t>
      </w:r>
    </w:p>
    <w:p w14:paraId="BF000000">
      <w:pPr>
        <w:spacing w:after="0"/>
        <w:ind w:firstLine="709" w:left="0"/>
        <w:contextualSpacing w:val="1"/>
        <w:jc w:val="both"/>
        <w:rPr>
          <w:rFonts w:ascii="Times New Roman" w:hAnsi="Times New Roman"/>
          <w:sz w:val="28"/>
        </w:rPr>
      </w:pPr>
      <w:r>
        <w:rPr>
          <w:rFonts w:ascii="Times New Roman" w:hAnsi="Times New Roman"/>
          <w:sz w:val="28"/>
        </w:rPr>
        <w:t>В</w:t>
      </w:r>
      <w:r>
        <w:rPr>
          <w:rFonts w:ascii="Times New Roman" w:hAnsi="Times New Roman"/>
          <w:sz w:val="28"/>
        </w:rPr>
        <w:t xml:space="preserve"> </w:t>
      </w:r>
      <w:r>
        <w:rPr>
          <w:rFonts w:ascii="Times New Roman" w:hAnsi="Times New Roman"/>
          <w:sz w:val="28"/>
        </w:rPr>
        <w:t>2021</w:t>
      </w:r>
      <w:r>
        <w:rPr>
          <w:rFonts w:ascii="Times New Roman" w:hAnsi="Times New Roman"/>
          <w:sz w:val="28"/>
        </w:rPr>
        <w:t xml:space="preserve"> году </w:t>
      </w:r>
      <w:r>
        <w:rPr>
          <w:rFonts w:ascii="Times New Roman" w:hAnsi="Times New Roman"/>
          <w:sz w:val="28"/>
        </w:rPr>
        <w:t>на двух крупных инвестиционных площадках запущена реализация</w:t>
      </w:r>
      <w:r>
        <w:rPr>
          <w:rFonts w:ascii="Times New Roman" w:hAnsi="Times New Roman"/>
          <w:sz w:val="28"/>
        </w:rPr>
        <w:t xml:space="preserve"> инвестиционны</w:t>
      </w:r>
      <w:r>
        <w:rPr>
          <w:rFonts w:ascii="Times New Roman" w:hAnsi="Times New Roman"/>
          <w:sz w:val="28"/>
        </w:rPr>
        <w:t>х</w:t>
      </w:r>
      <w:r>
        <w:rPr>
          <w:rFonts w:ascii="Times New Roman" w:hAnsi="Times New Roman"/>
          <w:sz w:val="28"/>
        </w:rPr>
        <w:t xml:space="preserve"> проект</w:t>
      </w:r>
      <w:r>
        <w:rPr>
          <w:rFonts w:ascii="Times New Roman" w:hAnsi="Times New Roman"/>
          <w:sz w:val="28"/>
        </w:rPr>
        <w:t>ов</w:t>
      </w:r>
      <w:r>
        <w:rPr>
          <w:rFonts w:ascii="Times New Roman" w:hAnsi="Times New Roman"/>
          <w:sz w:val="28"/>
        </w:rPr>
        <w:t xml:space="preserve">: </w:t>
      </w:r>
      <w:r>
        <w:rPr>
          <w:rFonts w:ascii="Times New Roman" w:hAnsi="Times New Roman"/>
          <w:sz w:val="28"/>
        </w:rPr>
        <w:t xml:space="preserve">«Строительство </w:t>
      </w:r>
      <w:r>
        <w:rPr>
          <w:rFonts w:ascii="Times New Roman" w:hAnsi="Times New Roman"/>
          <w:sz w:val="28"/>
        </w:rPr>
        <w:t>торгового центра «СтройЛан</w:t>
      </w:r>
      <w:r>
        <w:rPr>
          <w:rFonts w:ascii="Times New Roman" w:hAnsi="Times New Roman"/>
          <w:sz w:val="28"/>
        </w:rPr>
        <w:t xml:space="preserve">дия»» с </w:t>
      </w:r>
      <w:r>
        <w:rPr>
          <w:rFonts w:ascii="Times New Roman" w:hAnsi="Times New Roman"/>
          <w:sz w:val="28"/>
        </w:rPr>
        <w:t>объем</w:t>
      </w:r>
      <w:r>
        <w:rPr>
          <w:rFonts w:ascii="Times New Roman" w:hAnsi="Times New Roman"/>
          <w:sz w:val="28"/>
        </w:rPr>
        <w:t>ом</w:t>
      </w:r>
      <w:r>
        <w:rPr>
          <w:rFonts w:ascii="Times New Roman" w:hAnsi="Times New Roman"/>
          <w:sz w:val="28"/>
        </w:rPr>
        <w:t xml:space="preserve"> инвестиций  более 300 млн рублей, инвестор</w:t>
      </w:r>
      <w:r>
        <w:rPr>
          <w:rFonts w:ascii="Times New Roman" w:hAnsi="Times New Roman"/>
          <w:sz w:val="28"/>
        </w:rPr>
        <w:t xml:space="preserve">ом выступил </w:t>
      </w:r>
      <w:r>
        <w:rPr>
          <w:rFonts w:ascii="Times New Roman" w:hAnsi="Times New Roman"/>
          <w:sz w:val="28"/>
        </w:rPr>
        <w:t>ИП Филиппов С.И.</w:t>
      </w:r>
      <w:r>
        <w:rPr>
          <w:rFonts w:ascii="Times New Roman" w:hAnsi="Times New Roman"/>
          <w:sz w:val="28"/>
        </w:rPr>
        <w:t xml:space="preserve">, </w:t>
      </w:r>
      <w:r>
        <w:rPr>
          <w:rFonts w:ascii="Times New Roman" w:hAnsi="Times New Roman"/>
          <w:sz w:val="28"/>
        </w:rPr>
        <w:t>«Строительство сборочно-сварочного комплекса и адм</w:t>
      </w:r>
      <w:r>
        <w:rPr>
          <w:rFonts w:ascii="Times New Roman" w:hAnsi="Times New Roman"/>
          <w:sz w:val="28"/>
        </w:rPr>
        <w:t xml:space="preserve">инистративно-бытового корпуса» с общим </w:t>
      </w:r>
      <w:r>
        <w:rPr>
          <w:rFonts w:ascii="Times New Roman" w:hAnsi="Times New Roman"/>
          <w:sz w:val="28"/>
        </w:rPr>
        <w:t>объем</w:t>
      </w:r>
      <w:r>
        <w:rPr>
          <w:rFonts w:ascii="Times New Roman" w:hAnsi="Times New Roman"/>
          <w:sz w:val="28"/>
        </w:rPr>
        <w:t>ом</w:t>
      </w:r>
      <w:r>
        <w:rPr>
          <w:rFonts w:ascii="Times New Roman" w:hAnsi="Times New Roman"/>
          <w:sz w:val="28"/>
        </w:rPr>
        <w:t xml:space="preserve"> инвестиций 450 млн. руб., инвестор</w:t>
      </w:r>
      <w:r>
        <w:rPr>
          <w:rFonts w:ascii="Times New Roman" w:hAnsi="Times New Roman"/>
          <w:sz w:val="28"/>
        </w:rPr>
        <w:t>-</w:t>
      </w:r>
      <w:r>
        <w:rPr>
          <w:rFonts w:ascii="Times New Roman" w:hAnsi="Times New Roman"/>
          <w:sz w:val="28"/>
        </w:rPr>
        <w:t xml:space="preserve"> ООО «Атомспецсервис».</w:t>
      </w:r>
    </w:p>
    <w:p w14:paraId="C0000000">
      <w:pPr>
        <w:spacing w:after="0"/>
        <w:ind w:firstLine="709" w:left="0"/>
        <w:contextualSpacing w:val="1"/>
        <w:jc w:val="both"/>
        <w:rPr>
          <w:rFonts w:ascii="Times New Roman" w:hAnsi="Times New Roman"/>
          <w:sz w:val="28"/>
        </w:rPr>
      </w:pPr>
      <w:r>
        <w:rPr>
          <w:rFonts w:ascii="Times New Roman" w:hAnsi="Times New Roman"/>
          <w:sz w:val="28"/>
        </w:rPr>
        <w:t xml:space="preserve">По итогам прошедшего года </w:t>
      </w:r>
      <w:r>
        <w:rPr>
          <w:rFonts w:ascii="Times New Roman" w:hAnsi="Times New Roman"/>
          <w:sz w:val="28"/>
        </w:rPr>
        <w:t xml:space="preserve">Волгодонск занимает второе рейтинговое место после Ростова-на-Дону среди городов Ростовской области по показателю «Инвестиции в основной капитал». </w:t>
      </w:r>
    </w:p>
    <w:p w14:paraId="C1000000">
      <w:pPr>
        <w:spacing w:after="0"/>
        <w:ind w:firstLine="709" w:left="0"/>
        <w:contextualSpacing w:val="1"/>
        <w:jc w:val="both"/>
        <w:rPr>
          <w:rFonts w:ascii="Times New Roman" w:hAnsi="Times New Roman"/>
          <w:sz w:val="28"/>
        </w:rPr>
      </w:pPr>
      <w:r>
        <w:rPr>
          <w:rFonts w:ascii="Times New Roman" w:hAnsi="Times New Roman"/>
          <w:sz w:val="28"/>
        </w:rPr>
        <w:t xml:space="preserve">В соответствии с </w:t>
      </w:r>
      <w:r>
        <w:rPr>
          <w:rFonts w:ascii="Times New Roman" w:hAnsi="Times New Roman"/>
          <w:sz w:val="28"/>
        </w:rPr>
        <w:t>Реестр</w:t>
      </w:r>
      <w:r>
        <w:rPr>
          <w:rFonts w:ascii="Times New Roman" w:hAnsi="Times New Roman"/>
          <w:sz w:val="28"/>
        </w:rPr>
        <w:t>ом</w:t>
      </w:r>
      <w:r>
        <w:rPr>
          <w:rFonts w:ascii="Times New Roman" w:hAnsi="Times New Roman"/>
          <w:sz w:val="28"/>
        </w:rPr>
        <w:t xml:space="preserve"> инвестиционных проектов</w:t>
      </w:r>
      <w:r>
        <w:rPr>
          <w:rFonts w:ascii="Times New Roman" w:hAnsi="Times New Roman"/>
          <w:sz w:val="28"/>
        </w:rPr>
        <w:t xml:space="preserve"> (далее - реестр)</w:t>
      </w:r>
      <w:r>
        <w:rPr>
          <w:rFonts w:ascii="Times New Roman" w:hAnsi="Times New Roman"/>
          <w:sz w:val="28"/>
        </w:rPr>
        <w:t>, реализуемых на территории муниципального образования «Город Волгодонск»</w:t>
      </w:r>
      <w:r>
        <w:rPr>
          <w:rFonts w:ascii="Times New Roman" w:hAnsi="Times New Roman"/>
          <w:sz w:val="28"/>
        </w:rPr>
        <w:t xml:space="preserve"> </w:t>
      </w:r>
      <w:r>
        <w:rPr>
          <w:rFonts w:ascii="Times New Roman" w:hAnsi="Times New Roman"/>
          <w:sz w:val="28"/>
        </w:rPr>
        <w:t xml:space="preserve">по состоянию на конец </w:t>
      </w:r>
      <w:r>
        <w:rPr>
          <w:rFonts w:ascii="Times New Roman" w:hAnsi="Times New Roman"/>
          <w:sz w:val="28"/>
        </w:rPr>
        <w:t>2021год</w:t>
      </w:r>
      <w:r>
        <w:rPr>
          <w:rFonts w:ascii="Times New Roman" w:hAnsi="Times New Roman"/>
          <w:sz w:val="28"/>
        </w:rPr>
        <w:t>а</w:t>
      </w:r>
      <w:r>
        <w:rPr>
          <w:rFonts w:ascii="Times New Roman" w:hAnsi="Times New Roman"/>
          <w:sz w:val="28"/>
        </w:rPr>
        <w:t xml:space="preserve">, </w:t>
      </w:r>
      <w:r>
        <w:rPr>
          <w:rFonts w:ascii="Times New Roman" w:hAnsi="Times New Roman"/>
          <w:sz w:val="28"/>
        </w:rPr>
        <w:t>Администрация города Волгодонска курирует</w:t>
      </w:r>
      <w:r>
        <w:rPr>
          <w:rFonts w:ascii="Times New Roman" w:hAnsi="Times New Roman"/>
          <w:sz w:val="28"/>
        </w:rPr>
        <w:t xml:space="preserve"> </w:t>
      </w:r>
      <w:r>
        <w:rPr>
          <w:rFonts w:ascii="Times New Roman" w:hAnsi="Times New Roman"/>
          <w:sz w:val="28"/>
        </w:rPr>
        <w:t xml:space="preserve">работу </w:t>
      </w:r>
      <w:r>
        <w:rPr>
          <w:rFonts w:ascii="Times New Roman" w:hAnsi="Times New Roman"/>
          <w:sz w:val="28"/>
        </w:rPr>
        <w:t xml:space="preserve">19 инвестиционных проектов на общую сумму инвестиций 46,7 млрд рублей, </w:t>
      </w:r>
      <w:r>
        <w:rPr>
          <w:rFonts w:ascii="Times New Roman" w:hAnsi="Times New Roman"/>
          <w:sz w:val="28"/>
        </w:rPr>
        <w:t>из них на 2021 год</w:t>
      </w:r>
      <w:r>
        <w:rPr>
          <w:rFonts w:ascii="Times New Roman" w:hAnsi="Times New Roman"/>
          <w:sz w:val="28"/>
        </w:rPr>
        <w:t>– 10,1 млрд рублей.</w:t>
      </w:r>
    </w:p>
    <w:p w14:paraId="C2000000">
      <w:pPr>
        <w:spacing w:after="0"/>
        <w:ind w:firstLine="709" w:left="0"/>
        <w:contextualSpacing w:val="1"/>
        <w:jc w:val="both"/>
        <w:rPr>
          <w:rFonts w:ascii="Times New Roman" w:hAnsi="Times New Roman"/>
          <w:sz w:val="28"/>
        </w:rPr>
      </w:pPr>
      <w:r>
        <w:rPr>
          <w:rFonts w:ascii="Times New Roman" w:hAnsi="Times New Roman"/>
          <w:sz w:val="28"/>
        </w:rPr>
        <w:t xml:space="preserve">В целях </w:t>
      </w:r>
      <w:r>
        <w:rPr>
          <w:rFonts w:ascii="Times New Roman" w:hAnsi="Times New Roman"/>
          <w:sz w:val="28"/>
        </w:rPr>
        <w:t>отчетном году</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с целью развития экономики города, </w:t>
      </w:r>
      <w:r>
        <w:rPr>
          <w:rFonts w:ascii="Times New Roman" w:hAnsi="Times New Roman"/>
          <w:sz w:val="28"/>
        </w:rPr>
        <w:t>реализовано с аукционов 10 земельных участков, в том числе: 2 земельных участка под производственную деятельность, 4 под строительство складов, 4 земельных участка под объекты торговли.</w:t>
      </w:r>
      <w:r>
        <w:rPr>
          <w:rFonts w:ascii="Times New Roman" w:hAnsi="Times New Roman"/>
          <w:sz w:val="28"/>
        </w:rPr>
        <w:t xml:space="preserve"> Земельные участки под объекты торговли пользуются большим спросом и реализуются посредством торгов достаточно быстро, реализация земельных участков под производственные базы в целях строительства минимальна.</w:t>
      </w:r>
      <w:r>
        <w:rPr>
          <w:rFonts w:ascii="Times New Roman" w:hAnsi="Times New Roman"/>
          <w:sz w:val="28"/>
        </w:rPr>
        <w:t xml:space="preserve"> </w:t>
      </w:r>
    </w:p>
    <w:p w14:paraId="C3000000">
      <w:pPr>
        <w:spacing w:after="0"/>
        <w:ind w:firstLine="709" w:left="0"/>
        <w:contextualSpacing w:val="1"/>
        <w:jc w:val="both"/>
        <w:rPr>
          <w:rFonts w:ascii="Times New Roman" w:hAnsi="Times New Roman"/>
          <w:sz w:val="28"/>
        </w:rPr>
      </w:pPr>
      <w:r>
        <w:rPr>
          <w:rFonts w:ascii="Times New Roman" w:hAnsi="Times New Roman"/>
          <w:sz w:val="28"/>
        </w:rPr>
        <w:t>По результату заседания инвестиционного Совета города Волгодонска в 2021</w:t>
      </w:r>
      <w:r>
        <w:rPr>
          <w:rFonts w:ascii="Times New Roman" w:hAnsi="Times New Roman"/>
          <w:sz w:val="28"/>
        </w:rPr>
        <w:t xml:space="preserve"> году дополнительно</w:t>
      </w:r>
      <w:r>
        <w:rPr>
          <w:rFonts w:ascii="Times New Roman" w:hAnsi="Times New Roman"/>
          <w:sz w:val="28"/>
        </w:rPr>
        <w:t xml:space="preserve"> включено </w:t>
      </w:r>
      <w:r>
        <w:rPr>
          <w:rFonts w:ascii="Times New Roman" w:hAnsi="Times New Roman"/>
          <w:sz w:val="28"/>
        </w:rPr>
        <w:t xml:space="preserve">в реестр еще </w:t>
      </w:r>
      <w:r>
        <w:rPr>
          <w:rFonts w:ascii="Times New Roman" w:hAnsi="Times New Roman"/>
          <w:sz w:val="28"/>
        </w:rPr>
        <w:t>три инвестиционных проекта</w:t>
      </w:r>
      <w:r>
        <w:rPr>
          <w:rFonts w:ascii="Times New Roman" w:hAnsi="Times New Roman"/>
          <w:sz w:val="28"/>
        </w:rPr>
        <w:t>.</w:t>
      </w:r>
    </w:p>
    <w:p w14:paraId="C4000000">
      <w:pPr>
        <w:spacing w:after="0"/>
        <w:ind w:firstLine="709" w:left="0"/>
        <w:contextualSpacing w:val="1"/>
        <w:jc w:val="both"/>
        <w:rPr>
          <w:rFonts w:ascii="Times New Roman" w:hAnsi="Times New Roman"/>
          <w:sz w:val="28"/>
        </w:rPr>
      </w:pPr>
      <w:r>
        <w:rPr>
          <w:rFonts w:ascii="Times New Roman" w:hAnsi="Times New Roman"/>
          <w:sz w:val="28"/>
        </w:rPr>
        <w:t xml:space="preserve">Одним из главных критериев благополучного развития инвестиционной привлекательности это наличие развитой инженерной коммуникации. С 2020 года город Волгодонск столкнулся с такой проблемой, как отсутствие свободных лимитов на газ, что сильно повлияло в 2021 году на реализацию инвестиционных проектов действующих организаций и </w:t>
      </w:r>
      <w:r>
        <w:rPr>
          <w:rFonts w:ascii="Times New Roman" w:hAnsi="Times New Roman"/>
          <w:sz w:val="28"/>
        </w:rPr>
        <w:t>на инвестиционную привлекательность</w:t>
      </w:r>
      <w:r>
        <w:rPr>
          <w:rFonts w:ascii="Times New Roman" w:hAnsi="Times New Roman"/>
          <w:sz w:val="28"/>
        </w:rPr>
        <w:t xml:space="preserve"> в целом. </w:t>
      </w:r>
      <w:r>
        <w:rPr>
          <w:rFonts w:ascii="Times New Roman" w:hAnsi="Times New Roman"/>
          <w:sz w:val="28"/>
        </w:rPr>
        <w:t>По результатам проведенного Администрацией города Волгодонска мониторингу, б</w:t>
      </w:r>
      <w:r>
        <w:rPr>
          <w:rFonts w:ascii="Times New Roman" w:hAnsi="Times New Roman"/>
          <w:sz w:val="28"/>
        </w:rPr>
        <w:t>олее 10 предприятий города не смогли начать реализацию инвестиционных проектов с общим объемом инвестиций более 1 млрд рублей. Для решения данной проблем</w:t>
      </w:r>
      <w:r>
        <w:rPr>
          <w:rFonts w:ascii="Times New Roman" w:hAnsi="Times New Roman"/>
          <w:sz w:val="28"/>
        </w:rPr>
        <w:t>ы</w:t>
      </w:r>
      <w:r>
        <w:rPr>
          <w:rFonts w:ascii="Times New Roman" w:hAnsi="Times New Roman"/>
          <w:sz w:val="28"/>
        </w:rPr>
        <w:t xml:space="preserve"> Администрация города Волгодонска инициировала ряд рабочих совещаний </w:t>
      </w:r>
      <w:r>
        <w:rPr>
          <w:rFonts w:ascii="Times New Roman" w:hAnsi="Times New Roman"/>
          <w:sz w:val="28"/>
        </w:rPr>
        <w:t>при поддержке</w:t>
      </w:r>
      <w:r>
        <w:rPr>
          <w:rFonts w:ascii="Times New Roman" w:hAnsi="Times New Roman"/>
          <w:sz w:val="28"/>
        </w:rPr>
        <w:t xml:space="preserve"> </w:t>
      </w:r>
      <w:r>
        <w:rPr>
          <w:rFonts w:ascii="Times New Roman" w:hAnsi="Times New Roman"/>
          <w:sz w:val="28"/>
        </w:rPr>
        <w:t>министерств</w:t>
      </w:r>
      <w:r>
        <w:rPr>
          <w:rFonts w:ascii="Times New Roman" w:hAnsi="Times New Roman"/>
          <w:sz w:val="28"/>
        </w:rPr>
        <w:t>а</w:t>
      </w:r>
      <w:r>
        <w:rPr>
          <w:rFonts w:ascii="Times New Roman" w:hAnsi="Times New Roman"/>
          <w:sz w:val="28"/>
        </w:rPr>
        <w:t xml:space="preserve"> промышленности и энергетики Ростовской области </w:t>
      </w:r>
      <w:r>
        <w:rPr>
          <w:rFonts w:ascii="Times New Roman" w:hAnsi="Times New Roman"/>
          <w:sz w:val="28"/>
        </w:rPr>
        <w:t>с</w:t>
      </w:r>
      <w:r>
        <w:rPr>
          <w:rFonts w:ascii="Times New Roman" w:hAnsi="Times New Roman"/>
          <w:sz w:val="28"/>
        </w:rPr>
        <w:t xml:space="preserve"> </w:t>
      </w:r>
      <w:r>
        <w:rPr>
          <w:rFonts w:ascii="Times New Roman" w:hAnsi="Times New Roman"/>
          <w:sz w:val="28"/>
        </w:rPr>
        <w:t>представителями ООО «Газпромреконструкция». По результатам проведенных встреч, ООО «Газпромреконструкция» принято решение о расширении в 2021 году мощностей газоснабжения для центральных районов Ростовской области и г. Волгодонска путем строительства газопровода-перемычки между магистральным газопроводом «Починки-Изобильное» и существующим газопроводом-отводом на г. Волгодонск. Данный проект планируется завершить в 2022-2023 гг.</w:t>
      </w:r>
    </w:p>
    <w:p w14:paraId="C5000000">
      <w:pPr>
        <w:spacing w:after="0"/>
        <w:ind w:firstLine="709" w:left="0"/>
        <w:contextualSpacing w:val="1"/>
        <w:jc w:val="both"/>
        <w:rPr>
          <w:rFonts w:ascii="Times New Roman" w:hAnsi="Times New Roman"/>
          <w:sz w:val="28"/>
        </w:rPr>
      </w:pPr>
      <w:r>
        <w:rPr>
          <w:rFonts w:ascii="Times New Roman" w:hAnsi="Times New Roman"/>
          <w:sz w:val="28"/>
        </w:rPr>
        <w:t>За счет многопрофильной промышленной базы с рядом крупных производств, специализирующихся в энергетическом машиностроении, ветроэнергетики, а также развитой научно-образовательной среды</w:t>
      </w:r>
      <w:r>
        <w:rPr>
          <w:rFonts w:ascii="Times New Roman" w:hAnsi="Times New Roman"/>
          <w:sz w:val="28"/>
        </w:rPr>
        <w:t>,</w:t>
      </w:r>
      <w:r>
        <w:rPr>
          <w:rFonts w:ascii="Times New Roman" w:hAnsi="Times New Roman"/>
          <w:sz w:val="28"/>
        </w:rPr>
        <w:t xml:space="preserve"> Волгодонск обладает всеми конкурентными преимуществами для создания индустриального парка.</w:t>
      </w:r>
    </w:p>
    <w:p w14:paraId="C6000000">
      <w:pPr>
        <w:spacing w:after="0"/>
        <w:ind w:firstLine="709" w:left="0"/>
        <w:contextualSpacing w:val="1"/>
        <w:jc w:val="both"/>
        <w:rPr>
          <w:rFonts w:ascii="Times New Roman" w:hAnsi="Times New Roman"/>
          <w:sz w:val="28"/>
        </w:rPr>
      </w:pPr>
      <w:r>
        <w:rPr>
          <w:rFonts w:ascii="Times New Roman" w:hAnsi="Times New Roman"/>
          <w:sz w:val="28"/>
        </w:rPr>
        <w:t xml:space="preserve">Потенциал города </w:t>
      </w:r>
      <w:r>
        <w:rPr>
          <w:rFonts w:ascii="Times New Roman" w:hAnsi="Times New Roman"/>
          <w:sz w:val="28"/>
        </w:rPr>
        <w:t xml:space="preserve">в настоящий момент </w:t>
      </w:r>
      <w:r>
        <w:rPr>
          <w:rFonts w:ascii="Times New Roman" w:hAnsi="Times New Roman"/>
          <w:sz w:val="28"/>
        </w:rPr>
        <w:t xml:space="preserve">позволяет создать индустриальный парк по одному из типов, как Браунфилд, так и Гринфилд. </w:t>
      </w:r>
    </w:p>
    <w:p w14:paraId="C7000000">
      <w:pPr>
        <w:spacing w:after="0"/>
        <w:ind w:firstLine="709" w:left="0"/>
        <w:contextualSpacing w:val="1"/>
        <w:jc w:val="both"/>
        <w:rPr>
          <w:rFonts w:ascii="Times New Roman" w:hAnsi="Times New Roman"/>
          <w:sz w:val="28"/>
        </w:rPr>
      </w:pPr>
      <w:r>
        <w:rPr>
          <w:rFonts w:ascii="Times New Roman" w:hAnsi="Times New Roman"/>
          <w:sz w:val="28"/>
        </w:rPr>
        <w:t xml:space="preserve">Для создания парка по типу Браунфилд </w:t>
      </w:r>
      <w:r>
        <w:rPr>
          <w:rFonts w:ascii="Times New Roman" w:hAnsi="Times New Roman"/>
          <w:sz w:val="28"/>
        </w:rPr>
        <w:t xml:space="preserve">определен потенциальный </w:t>
      </w:r>
      <w:r>
        <w:rPr>
          <w:rFonts w:ascii="Times New Roman" w:hAnsi="Times New Roman"/>
          <w:sz w:val="28"/>
        </w:rPr>
        <w:t>участник</w:t>
      </w:r>
      <w:r>
        <w:rPr>
          <w:rFonts w:ascii="Times New Roman" w:hAnsi="Times New Roman"/>
          <w:sz w:val="28"/>
        </w:rPr>
        <w:t xml:space="preserve"> в городе Волгодонске</w:t>
      </w:r>
      <w:r>
        <w:rPr>
          <w:rFonts w:ascii="Times New Roman" w:hAnsi="Times New Roman"/>
          <w:sz w:val="28"/>
        </w:rPr>
        <w:t>, проявивший заинтересованность в развитии данного направления.</w:t>
      </w: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 АО «АЭМ-технологии» «Атоммаш» </w:t>
      </w:r>
      <w:r>
        <w:rPr>
          <w:rFonts w:ascii="Times New Roman" w:hAnsi="Times New Roman"/>
          <w:sz w:val="28"/>
        </w:rPr>
        <w:t xml:space="preserve">ведутся переговоры о возможности </w:t>
      </w:r>
      <w:r>
        <w:rPr>
          <w:rFonts w:ascii="Times New Roman" w:hAnsi="Times New Roman"/>
          <w:sz w:val="28"/>
        </w:rPr>
        <w:t>создани</w:t>
      </w:r>
      <w:r>
        <w:rPr>
          <w:rFonts w:ascii="Times New Roman" w:hAnsi="Times New Roman"/>
          <w:sz w:val="28"/>
        </w:rPr>
        <w:t>я</w:t>
      </w:r>
      <w:r>
        <w:rPr>
          <w:rFonts w:ascii="Times New Roman" w:hAnsi="Times New Roman"/>
          <w:sz w:val="28"/>
        </w:rPr>
        <w:t xml:space="preserve"> на его базе индустриального парка, вокруг которого разместятся мелкие производства, что позволит развитию кооперационных связей между резиде</w:t>
      </w:r>
      <w:r>
        <w:rPr>
          <w:rFonts w:ascii="Times New Roman" w:hAnsi="Times New Roman"/>
          <w:sz w:val="28"/>
        </w:rPr>
        <w:t>нтами парка.</w:t>
      </w:r>
    </w:p>
    <w:p w14:paraId="C8000000">
      <w:pPr>
        <w:spacing w:after="0"/>
        <w:ind w:firstLine="709" w:left="0"/>
        <w:contextualSpacing w:val="1"/>
        <w:jc w:val="both"/>
        <w:rPr>
          <w:rFonts w:ascii="Times New Roman" w:hAnsi="Times New Roman"/>
          <w:sz w:val="28"/>
        </w:rPr>
      </w:pPr>
      <w:r>
        <w:rPr>
          <w:rFonts w:ascii="Times New Roman" w:hAnsi="Times New Roman"/>
          <w:sz w:val="28"/>
        </w:rPr>
        <w:t xml:space="preserve">Для создания индустриального парка по типу Гринфилд в промышленной зоне города </w:t>
      </w:r>
      <w:r>
        <w:rPr>
          <w:rFonts w:ascii="Times New Roman" w:hAnsi="Times New Roman"/>
          <w:sz w:val="28"/>
        </w:rPr>
        <w:t>сформированы</w:t>
      </w:r>
      <w:r>
        <w:rPr>
          <w:rFonts w:ascii="Times New Roman" w:hAnsi="Times New Roman"/>
          <w:sz w:val="28"/>
        </w:rPr>
        <w:t xml:space="preserve"> земельные участки общей площадью более 80 га (с возможностью к расширению) </w:t>
      </w:r>
      <w:r>
        <w:rPr>
          <w:rFonts w:ascii="Times New Roman" w:hAnsi="Times New Roman"/>
          <w:sz w:val="28"/>
        </w:rPr>
        <w:t xml:space="preserve">с </w:t>
      </w:r>
      <w:r>
        <w:rPr>
          <w:rFonts w:ascii="Times New Roman" w:hAnsi="Times New Roman"/>
          <w:sz w:val="28"/>
        </w:rPr>
        <w:t>рядом расположенной инженерно-дорожной инфраструктурой.</w:t>
      </w:r>
    </w:p>
    <w:p w14:paraId="C9000000">
      <w:pPr>
        <w:pStyle w:val="Style_3"/>
        <w:spacing w:after="0" w:before="0" w:line="276" w:lineRule="auto"/>
        <w:ind w:firstLine="709" w:left="0"/>
        <w:jc w:val="both"/>
        <w:rPr>
          <w:sz w:val="28"/>
          <w:u w:val="single"/>
        </w:rPr>
      </w:pPr>
      <w:r>
        <w:rPr>
          <w:sz w:val="28"/>
        </w:rPr>
        <w:t xml:space="preserve">Для повышения инвестиционной привлекательности создан инвестиционный портал города Волгодонска. </w:t>
      </w:r>
      <w:r>
        <w:rPr>
          <w:sz w:val="28"/>
        </w:rPr>
        <w:t>Раздел «Экономика» подраздела «Инвестиции»</w:t>
      </w:r>
      <w:r>
        <w:rPr>
          <w:sz w:val="28"/>
        </w:rPr>
        <w:t xml:space="preserve"> на сайте </w:t>
      </w:r>
      <w:r>
        <w:rPr>
          <w:sz w:val="28"/>
        </w:rPr>
        <w:t xml:space="preserve">Администрации города Волгодонска </w:t>
      </w:r>
      <w:r>
        <w:rPr>
          <w:sz w:val="28"/>
        </w:rPr>
        <w:t>содержит</w:t>
      </w:r>
      <w:r>
        <w:rPr>
          <w:sz w:val="28"/>
        </w:rPr>
        <w:t xml:space="preserve"> информацию об</w:t>
      </w:r>
      <w:r>
        <w:rPr>
          <w:sz w:val="28"/>
        </w:rPr>
        <w:t xml:space="preserve"> инвестиционном портале </w:t>
      </w:r>
      <w:r>
        <w:rPr>
          <w:sz w:val="28"/>
        </w:rPr>
        <w:t>города Волгодонска</w:t>
      </w:r>
      <w:r>
        <w:rPr>
          <w:sz w:val="28"/>
        </w:rPr>
        <w:t xml:space="preserve"> по адресу</w:t>
      </w:r>
      <w:r>
        <w:rPr>
          <w:sz w:val="28"/>
        </w:rPr>
        <w:t xml:space="preserve"> </w:t>
      </w:r>
      <w:r>
        <w:rPr>
          <w:sz w:val="28"/>
          <w:u w:val="single"/>
        </w:rPr>
        <w:fldChar w:fldCharType="begin"/>
      </w:r>
      <w:r>
        <w:rPr>
          <w:sz w:val="28"/>
          <w:u w:val="single"/>
        </w:rPr>
        <w:instrText>HYPERLINK "http://volgodonskgorod.ru/investments/"</w:instrText>
      </w:r>
      <w:r>
        <w:rPr>
          <w:sz w:val="28"/>
          <w:u w:val="single"/>
        </w:rPr>
        <w:fldChar w:fldCharType="separate"/>
      </w:r>
      <w:r>
        <w:rPr>
          <w:sz w:val="28"/>
          <w:u w:val="single"/>
        </w:rPr>
        <w:t>http://volgodonskgorod.ru/investments/</w:t>
      </w:r>
      <w:r>
        <w:rPr>
          <w:sz w:val="28"/>
          <w:u w:val="single"/>
        </w:rPr>
        <w:fldChar w:fldCharType="end"/>
      </w:r>
      <w:r>
        <w:rPr>
          <w:sz w:val="28"/>
          <w:u w:val="single"/>
        </w:rPr>
        <w:t>.</w:t>
      </w:r>
    </w:p>
    <w:p w14:paraId="CA000000">
      <w:pPr>
        <w:pStyle w:val="Style_3"/>
        <w:spacing w:after="0" w:before="0" w:line="276" w:lineRule="auto"/>
        <w:ind w:firstLine="709" w:left="0"/>
        <w:jc w:val="both"/>
        <w:rPr>
          <w:sz w:val="28"/>
        </w:rPr>
      </w:pPr>
      <w:r>
        <w:rPr>
          <w:sz w:val="28"/>
        </w:rPr>
        <w:t xml:space="preserve">Данный ресурс </w:t>
      </w:r>
      <w:r>
        <w:rPr>
          <w:sz w:val="28"/>
        </w:rPr>
        <w:t xml:space="preserve">обеспечивает наглядное представление инвестиционных возможностей </w:t>
      </w:r>
      <w:r>
        <w:rPr>
          <w:sz w:val="28"/>
        </w:rPr>
        <w:t>города</w:t>
      </w:r>
      <w:r>
        <w:rPr>
          <w:sz w:val="28"/>
        </w:rPr>
        <w:t>, его инвестиционной инфраструктуры, потенциальных направлений инвестиций, а также сбор и оперативное рассмотрение жалоб, обращений инвесторов.</w:t>
      </w:r>
    </w:p>
    <w:p w14:paraId="CB000000">
      <w:pPr>
        <w:pStyle w:val="Style_3"/>
        <w:spacing w:after="0" w:before="0" w:line="276" w:lineRule="auto"/>
        <w:ind w:firstLine="709" w:left="0"/>
        <w:jc w:val="both"/>
        <w:rPr>
          <w:sz w:val="28"/>
        </w:rPr>
      </w:pPr>
      <w:r>
        <w:rPr>
          <w:sz w:val="28"/>
        </w:rPr>
        <w:t xml:space="preserve">Инвестиционный портал </w:t>
      </w:r>
      <w:r>
        <w:rPr>
          <w:sz w:val="28"/>
        </w:rPr>
        <w:t>города Волгодонска</w:t>
      </w:r>
      <w:r>
        <w:rPr>
          <w:sz w:val="28"/>
        </w:rPr>
        <w:t xml:space="preserve"> содержит: </w:t>
      </w:r>
    </w:p>
    <w:p w14:paraId="CC000000">
      <w:pPr>
        <w:pStyle w:val="Style_3"/>
        <w:spacing w:after="0" w:before="0" w:line="276" w:lineRule="auto"/>
        <w:ind w:firstLine="709" w:left="0"/>
        <w:jc w:val="both"/>
        <w:rPr>
          <w:sz w:val="28"/>
        </w:rPr>
      </w:pPr>
      <w:r>
        <w:rPr>
          <w:sz w:val="28"/>
        </w:rPr>
        <w:t xml:space="preserve">- </w:t>
      </w:r>
      <w:r>
        <w:rPr>
          <w:sz w:val="28"/>
        </w:rPr>
        <w:t>информацию об инвестиционной привлекательности;</w:t>
      </w:r>
    </w:p>
    <w:p w14:paraId="CD000000">
      <w:pPr>
        <w:pStyle w:val="Style_3"/>
        <w:spacing w:after="0" w:before="0" w:line="276" w:lineRule="auto"/>
        <w:ind w:firstLine="709" w:left="0"/>
        <w:jc w:val="both"/>
        <w:rPr>
          <w:sz w:val="28"/>
        </w:rPr>
      </w:pPr>
      <w:r>
        <w:rPr>
          <w:sz w:val="28"/>
        </w:rPr>
        <w:t xml:space="preserve">- </w:t>
      </w:r>
      <w:r>
        <w:rPr>
          <w:sz w:val="28"/>
        </w:rPr>
        <w:t>Стратегию социально-экономического развития города Волгодонска до 2030 года</w:t>
      </w:r>
      <w:r>
        <w:rPr>
          <w:sz w:val="28"/>
        </w:rPr>
        <w:t xml:space="preserve">; </w:t>
      </w:r>
    </w:p>
    <w:p w14:paraId="CE000000">
      <w:pPr>
        <w:pStyle w:val="Style_3"/>
        <w:spacing w:after="0" w:before="0" w:line="276" w:lineRule="auto"/>
        <w:ind w:firstLine="709" w:left="0"/>
        <w:jc w:val="both"/>
        <w:rPr>
          <w:sz w:val="28"/>
        </w:rPr>
      </w:pPr>
      <w:r>
        <w:rPr>
          <w:sz w:val="28"/>
        </w:rPr>
        <w:t xml:space="preserve">- </w:t>
      </w:r>
      <w:r>
        <w:rPr>
          <w:sz w:val="28"/>
        </w:rPr>
        <w:t xml:space="preserve">линию прямых обращений; </w:t>
      </w:r>
    </w:p>
    <w:p w14:paraId="CF000000">
      <w:pPr>
        <w:pStyle w:val="Style_3"/>
        <w:spacing w:after="0" w:before="0" w:line="276" w:lineRule="auto"/>
        <w:ind w:firstLine="709" w:left="0"/>
        <w:jc w:val="both"/>
        <w:rPr>
          <w:sz w:val="28"/>
        </w:rPr>
      </w:pPr>
      <w:r>
        <w:rPr>
          <w:sz w:val="28"/>
        </w:rPr>
        <w:t xml:space="preserve">- </w:t>
      </w:r>
      <w:r>
        <w:rPr>
          <w:sz w:val="28"/>
        </w:rPr>
        <w:t>описание мер поддержки инвестиций;</w:t>
      </w:r>
    </w:p>
    <w:p w14:paraId="D0000000">
      <w:pPr>
        <w:pStyle w:val="Style_3"/>
        <w:spacing w:after="0" w:before="0" w:line="276" w:lineRule="auto"/>
        <w:ind w:firstLine="709" w:left="0"/>
        <w:jc w:val="both"/>
        <w:rPr>
          <w:sz w:val="28"/>
        </w:rPr>
      </w:pPr>
      <w:r>
        <w:rPr>
          <w:sz w:val="28"/>
        </w:rPr>
        <w:t xml:space="preserve">- </w:t>
      </w:r>
      <w:r>
        <w:rPr>
          <w:sz w:val="28"/>
        </w:rPr>
        <w:t xml:space="preserve">информацию о результатах заседаний </w:t>
      </w:r>
      <w:r>
        <w:rPr>
          <w:sz w:val="28"/>
        </w:rPr>
        <w:t xml:space="preserve">Инвестиционного </w:t>
      </w:r>
      <w:r>
        <w:rPr>
          <w:sz w:val="28"/>
        </w:rPr>
        <w:t>Совета по улучшению инвестиционного климата</w:t>
      </w:r>
      <w:r>
        <w:rPr>
          <w:sz w:val="28"/>
        </w:rPr>
        <w:t xml:space="preserve"> в городе</w:t>
      </w:r>
      <w:r>
        <w:rPr>
          <w:sz w:val="28"/>
        </w:rPr>
        <w:t>;</w:t>
      </w:r>
    </w:p>
    <w:p w14:paraId="D1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информацию о планируемых и реализуемых на территории </w:t>
      </w:r>
      <w:r>
        <w:rPr>
          <w:rFonts w:ascii="Times New Roman" w:hAnsi="Times New Roman"/>
          <w:sz w:val="28"/>
        </w:rPr>
        <w:t>города Волгодонска</w:t>
      </w:r>
      <w:r>
        <w:rPr>
          <w:rFonts w:ascii="Times New Roman" w:hAnsi="Times New Roman"/>
          <w:sz w:val="28"/>
        </w:rPr>
        <w:t xml:space="preserve"> инвестиционных проектах.</w:t>
      </w:r>
    </w:p>
    <w:p w14:paraId="D2000000">
      <w:pPr>
        <w:pStyle w:val="Style_6"/>
        <w:ind w:firstLine="567" w:left="0"/>
        <w:jc w:val="both"/>
        <w:rPr>
          <w:rFonts w:ascii="Times New Roman" w:hAnsi="Times New Roman"/>
          <w:sz w:val="28"/>
        </w:rPr>
      </w:pPr>
      <w:r>
        <w:rPr>
          <w:rFonts w:ascii="Times New Roman" w:hAnsi="Times New Roman"/>
          <w:sz w:val="28"/>
        </w:rPr>
        <w:t>В 2021 году п</w:t>
      </w:r>
      <w:r>
        <w:rPr>
          <w:rFonts w:ascii="Times New Roman" w:hAnsi="Times New Roman"/>
          <w:sz w:val="28"/>
        </w:rPr>
        <w:t>резентованы  инвестиционные проекты города Волгодонска в Филиале ДГТУ на научно-практической конференции «Научный потенциал высшей школы – будуще</w:t>
      </w:r>
      <w:r>
        <w:rPr>
          <w:rFonts w:ascii="Times New Roman" w:hAnsi="Times New Roman"/>
          <w:sz w:val="28"/>
        </w:rPr>
        <w:t>е</w:t>
      </w:r>
      <w:r>
        <w:rPr>
          <w:rFonts w:ascii="Times New Roman" w:hAnsi="Times New Roman"/>
          <w:sz w:val="28"/>
        </w:rPr>
        <w:t xml:space="preserve"> России», в рамках проекта Master of Public Administration </w:t>
      </w:r>
      <w:r>
        <w:rPr>
          <w:rFonts w:ascii="Times New Roman" w:hAnsi="Times New Roman"/>
          <w:sz w:val="28"/>
        </w:rPr>
        <w:t>в</w:t>
      </w:r>
      <w:r>
        <w:rPr>
          <w:rFonts w:ascii="Times New Roman" w:hAnsi="Times New Roman"/>
          <w:sz w:val="28"/>
        </w:rPr>
        <w:t xml:space="preserve"> </w:t>
      </w:r>
      <w:r>
        <w:rPr>
          <w:rFonts w:ascii="Times New Roman" w:hAnsi="Times New Roman"/>
          <w:sz w:val="28"/>
        </w:rPr>
        <w:t xml:space="preserve">Московской школе управления «Сколково». </w:t>
      </w:r>
    </w:p>
    <w:p w14:paraId="D3000000">
      <w:pPr>
        <w:pStyle w:val="Style_6"/>
        <w:ind w:firstLine="567" w:left="0"/>
        <w:jc w:val="both"/>
        <w:rPr>
          <w:rFonts w:ascii="Times New Roman" w:hAnsi="Times New Roman"/>
          <w:sz w:val="28"/>
        </w:rPr>
      </w:pPr>
      <w:r>
        <w:rPr>
          <w:rFonts w:ascii="Times New Roman" w:hAnsi="Times New Roman"/>
          <w:sz w:val="28"/>
        </w:rPr>
        <w:t>Организован прием делегации дипломатических представительств из близлежащих республик: Абхазии, Белоруссии, Узбекистана, презентован инвестиционный потенциал города Волгодонска.</w:t>
      </w:r>
    </w:p>
    <w:p w14:paraId="D4000000">
      <w:pPr>
        <w:pStyle w:val="Style_6"/>
        <w:ind w:firstLine="567" w:left="0"/>
        <w:jc w:val="both"/>
        <w:rPr>
          <w:rFonts w:ascii="Times New Roman" w:hAnsi="Times New Roman"/>
          <w:sz w:val="28"/>
        </w:rPr>
      </w:pPr>
      <w:r>
        <w:rPr>
          <w:rFonts w:ascii="Times New Roman" w:hAnsi="Times New Roman"/>
          <w:sz w:val="28"/>
        </w:rPr>
        <w:t>Изготовлены в количестве 160</w:t>
      </w:r>
      <w:r>
        <w:rPr>
          <w:rFonts w:ascii="Times New Roman" w:hAnsi="Times New Roman"/>
          <w:sz w:val="28"/>
        </w:rPr>
        <w:t xml:space="preserve"> штук информационные </w:t>
      </w:r>
      <w:r>
        <w:rPr>
          <w:rFonts w:ascii="Times New Roman" w:hAnsi="Times New Roman"/>
          <w:sz w:val="28"/>
        </w:rPr>
        <w:t>материалы</w:t>
      </w:r>
      <w:r>
        <w:rPr>
          <w:rFonts w:ascii="Times New Roman" w:hAnsi="Times New Roman"/>
          <w:sz w:val="28"/>
        </w:rPr>
        <w:t xml:space="preserve"> об инвестиционной привлекательности города Волгодонска и мерах поддержки инвесторов, которые распространены на заседаниях советов, деловых встреч</w:t>
      </w:r>
      <w:r>
        <w:rPr>
          <w:rFonts w:ascii="Times New Roman" w:hAnsi="Times New Roman"/>
          <w:sz w:val="28"/>
        </w:rPr>
        <w:t>ах</w:t>
      </w:r>
      <w:r>
        <w:rPr>
          <w:rFonts w:ascii="Times New Roman" w:hAnsi="Times New Roman"/>
          <w:sz w:val="28"/>
        </w:rPr>
        <w:t xml:space="preserve"> с участием бизнес-сообщества, иностранных делегаций.</w:t>
      </w:r>
    </w:p>
    <w:p w14:paraId="D5000000">
      <w:pPr>
        <w:pStyle w:val="Style_3"/>
        <w:spacing w:after="0" w:before="0" w:line="276" w:lineRule="auto"/>
        <w:ind w:firstLine="709" w:left="0"/>
        <w:jc w:val="both"/>
        <w:rPr>
          <w:sz w:val="28"/>
        </w:rPr>
      </w:pPr>
      <w:r>
        <w:rPr>
          <w:sz w:val="28"/>
        </w:rPr>
        <w:t>В</w:t>
      </w:r>
      <w:r>
        <w:rPr>
          <w:sz w:val="28"/>
        </w:rPr>
        <w:t xml:space="preserve"> соответствии с решением Волгодонской городской Думы</w:t>
      </w:r>
      <w:r>
        <w:rPr>
          <w:sz w:val="28"/>
        </w:rPr>
        <w:t xml:space="preserve"> № 69 «О</w:t>
      </w:r>
      <w:r>
        <w:rPr>
          <w:sz w:val="28"/>
        </w:rPr>
        <w:t xml:space="preserve"> принятии дополнительной меры, направленной на поддержку субъектов малого и среднего предпринимательства, в наибольшей степени пострадавших в условиях ухудшения ситуации в результате распространения новой коронавирусной инфекции (2019-nCoV)» арендная плата для субъектов МСП в наибольшей степени пострадавших в условиях ухудшения ситуации в результате распространения новой коронавирусной инфекции (2019-nCoV) была снижена на 40 % в период с 01.09.2021 по 31.12.2021 и в соответствии с решением Волгодонской городской Думы от 11.11.2021 № 83 «О принятии дополнительной меры, направленной на поддержку субъектов малого и среднего </w:t>
      </w:r>
      <w:r>
        <w:rPr>
          <w:sz w:val="28"/>
        </w:rPr>
        <w:t>предпринимательства, в наибольшей степени пострадавших в условиях ухудшения ситуации в результате распространения новой коронавирусной инфекции (2019-nCoV)» арендная плата для субъектов МСП в наибольшей степени пострадавших в условиях ухудшения ситуации в результате распространения новой коронавирусной инфекции (2019-nCoV) была снижена на 90 % в период с 30.10.2021 по 07.11.2021.</w:t>
      </w:r>
      <w:r>
        <w:rPr>
          <w:sz w:val="28"/>
        </w:rPr>
        <w:t xml:space="preserve"> </w:t>
      </w:r>
    </w:p>
    <w:p w14:paraId="D6000000">
      <w:pPr>
        <w:pStyle w:val="Style_3"/>
        <w:spacing w:after="0" w:before="0" w:line="276" w:lineRule="auto"/>
        <w:ind w:firstLine="709" w:left="0"/>
        <w:jc w:val="both"/>
        <w:rPr>
          <w:sz w:val="28"/>
        </w:rPr>
      </w:pPr>
      <w:r>
        <w:rPr>
          <w:sz w:val="28"/>
        </w:rPr>
        <w:t xml:space="preserve">За указанной льготами период по снижению арендной платы за аренду муниципального </w:t>
      </w:r>
      <w:r>
        <w:rPr>
          <w:sz w:val="28"/>
        </w:rPr>
        <w:t xml:space="preserve">имущества обратился 1 </w:t>
      </w:r>
      <w:r>
        <w:rPr>
          <w:sz w:val="28"/>
        </w:rPr>
        <w:t xml:space="preserve">субъект </w:t>
      </w:r>
      <w:r>
        <w:rPr>
          <w:sz w:val="28"/>
        </w:rPr>
        <w:t xml:space="preserve">МСП , </w:t>
      </w:r>
      <w:r>
        <w:rPr>
          <w:sz w:val="28"/>
        </w:rPr>
        <w:t>размер имущественной поддержки составил 726,4 тыс.руб.</w:t>
      </w:r>
    </w:p>
    <w:p w14:paraId="D7000000">
      <w:pPr>
        <w:pStyle w:val="Style_3"/>
        <w:spacing w:after="0" w:before="0" w:line="276" w:lineRule="auto"/>
        <w:ind w:firstLine="709" w:left="0"/>
        <w:jc w:val="both"/>
        <w:rPr>
          <w:sz w:val="28"/>
        </w:rPr>
      </w:pPr>
      <w:r>
        <w:rPr>
          <w:sz w:val="28"/>
        </w:rPr>
        <w:t>С целью создания экономических, правовых и организационных условий для роста инвестиций в обновление основного и вспомогательного производства,  поддержки бизнеса и обеспечения устойчивого экономического развития Волгодонска на территории города Волгодонска применяются пониженные налоговые ставки по земельному налогу. Этой стимулирующей льготой воспользовались 1461 организация на общую сумму 19,7 млн рублей.</w:t>
      </w:r>
    </w:p>
    <w:p w14:paraId="D8000000">
      <w:pPr>
        <w:pStyle w:val="Style_3"/>
        <w:spacing w:after="0" w:before="0" w:line="276" w:lineRule="auto"/>
        <w:ind w:firstLine="709" w:left="0"/>
        <w:jc w:val="both"/>
        <w:rPr>
          <w:sz w:val="28"/>
        </w:rPr>
      </w:pPr>
      <w:r>
        <w:rPr>
          <w:sz w:val="28"/>
        </w:rPr>
        <w:t>В 2021 году государственная социальная помощь на основании социального контракта оказывалась на условиях федерального софинансирования. Городу Волгодонску были предусмотрены средства в объеме 24,3 млн рублей. Господдержку получили 283 семьи, с которыми были заключены социальные контракты, из них:</w:t>
      </w:r>
    </w:p>
    <w:p w14:paraId="D9000000">
      <w:pPr>
        <w:pStyle w:val="Style_3"/>
        <w:spacing w:after="0" w:before="0" w:line="276" w:lineRule="auto"/>
        <w:ind w:firstLine="709" w:left="0"/>
        <w:jc w:val="both"/>
        <w:rPr>
          <w:sz w:val="28"/>
        </w:rPr>
      </w:pPr>
      <w:r>
        <w:rPr>
          <w:sz w:val="28"/>
        </w:rPr>
        <w:t>- 50 контрактов (17,6%) с целью осуществления предпринимательской деятельности; (НА СУММУ);</w:t>
      </w:r>
    </w:p>
    <w:p w14:paraId="DA000000">
      <w:pPr>
        <w:pStyle w:val="Style_3"/>
        <w:spacing w:after="0" w:before="0" w:line="276" w:lineRule="auto"/>
        <w:ind w:firstLine="709" w:left="0"/>
        <w:jc w:val="both"/>
        <w:rPr>
          <w:sz w:val="28"/>
        </w:rPr>
      </w:pPr>
      <w:r>
        <w:rPr>
          <w:sz w:val="28"/>
        </w:rPr>
        <w:t>- 3 контракта (1,0%) для развития личного подсобного хозяйства; (НА СУММУ);</w:t>
      </w:r>
    </w:p>
    <w:p w14:paraId="DB000000">
      <w:pPr>
        <w:pStyle w:val="Style_3"/>
        <w:spacing w:after="0" w:before="0" w:line="276" w:lineRule="auto"/>
        <w:ind w:firstLine="709" w:left="0"/>
        <w:jc w:val="both"/>
        <w:rPr>
          <w:sz w:val="28"/>
        </w:rPr>
      </w:pPr>
      <w:r>
        <w:rPr>
          <w:sz w:val="28"/>
        </w:rPr>
        <w:t>- 104 контракта (36,6%) для преодоления трудной жизненной ситуации;</w:t>
      </w:r>
    </w:p>
    <w:p w14:paraId="DC000000">
      <w:pPr>
        <w:pStyle w:val="Style_3"/>
        <w:spacing w:after="0" w:before="0" w:line="276" w:lineRule="auto"/>
        <w:ind w:firstLine="709" w:left="0"/>
        <w:jc w:val="both"/>
        <w:rPr>
          <w:sz w:val="28"/>
        </w:rPr>
      </w:pPr>
      <w:r>
        <w:rPr>
          <w:sz w:val="28"/>
        </w:rPr>
        <w:t>- 126 контрактов (44,8%) на поиск работы.</w:t>
      </w:r>
    </w:p>
    <w:p w14:paraId="DD000000">
      <w:pPr>
        <w:pStyle w:val="Style_3"/>
        <w:spacing w:after="0" w:before="0" w:line="276" w:lineRule="auto"/>
        <w:ind w:firstLine="709" w:left="0"/>
        <w:jc w:val="both"/>
        <w:rPr>
          <w:sz w:val="28"/>
        </w:rPr>
      </w:pPr>
      <w:r>
        <w:rPr>
          <w:sz w:val="28"/>
        </w:rPr>
        <w:t>Выделенные средства в полном объеме были направлены участникам госпрограммы, для выхода из бедности и перехода на самообеспечение.</w:t>
      </w:r>
    </w:p>
    <w:p w14:paraId="DE000000">
      <w:pPr>
        <w:pStyle w:val="Style_3"/>
        <w:spacing w:after="0" w:before="0" w:line="276" w:lineRule="auto"/>
        <w:ind w:firstLine="709" w:left="0"/>
        <w:jc w:val="both"/>
        <w:rPr>
          <w:sz w:val="28"/>
        </w:rPr>
      </w:pPr>
      <w:r>
        <w:rPr>
          <w:sz w:val="28"/>
        </w:rPr>
        <w:t>За счет средств областного бюджета, заключено 5 соцконтрактов на сумму 263,1 тыс. рублей по направлению - ведение личного подсобного хозяйства.</w:t>
      </w:r>
    </w:p>
    <w:p w14:paraId="DF000000">
      <w:pPr>
        <w:pStyle w:val="Style_3"/>
        <w:spacing w:after="0" w:before="0" w:line="276" w:lineRule="auto"/>
        <w:ind w:firstLine="709" w:left="0"/>
        <w:jc w:val="both"/>
        <w:rPr>
          <w:sz w:val="28"/>
        </w:rPr>
      </w:pPr>
      <w:r>
        <w:rPr>
          <w:sz w:val="28"/>
        </w:rPr>
        <w:t>В дальнейшем с заключившими социальный контракт субъектами предпринимательской деятельности ведется работа по оказанию информационной и образовательной поддержки и вовлечению в мероприятия центра «Мой бизнес» по реализации национального проекта «Малое и среднее предпринимательство и поддержка индивидуальной предпринимательской инициативы</w:t>
      </w:r>
      <w:r>
        <w:rPr>
          <w:sz w:val="28"/>
        </w:rPr>
        <w:t>».</w:t>
      </w:r>
    </w:p>
    <w:p w14:paraId="E0000000">
      <w:pPr>
        <w:pStyle w:val="Style_3"/>
        <w:spacing w:after="0" w:before="0" w:line="276" w:lineRule="auto"/>
        <w:ind w:firstLine="709" w:left="0"/>
        <w:jc w:val="both"/>
        <w:rPr>
          <w:sz w:val="28"/>
        </w:rPr>
      </w:pPr>
      <w:r>
        <w:rPr>
          <w:sz w:val="28"/>
        </w:rPr>
        <w:t>В январе-декабре 2021 года государственным казенным учреждением Ростовской области «Центр занятости населения города Волгодонска»в рамках единовременной помощи была оказана финансовая поддержка 3 начинающим предпринимателям на общую сумму 69,8 тысяч рублей.</w:t>
      </w:r>
    </w:p>
    <w:p w14:paraId="E1000000">
      <w:pPr>
        <w:pStyle w:val="Style_3"/>
        <w:spacing w:after="0" w:before="0" w:line="276" w:lineRule="auto"/>
        <w:ind w:firstLine="709" w:left="0"/>
        <w:jc w:val="both"/>
        <w:rPr>
          <w:sz w:val="28"/>
        </w:rPr>
      </w:pPr>
      <w:r>
        <w:rPr>
          <w:sz w:val="28"/>
        </w:rPr>
        <w:t xml:space="preserve">Среднесписочная численность работников, занятых в сфере малого и среднего предпринимательства, включая индивидуальных предпринимателей составила 22 860 </w:t>
      </w:r>
      <w:r>
        <w:rPr>
          <w:sz w:val="28"/>
        </w:rPr>
        <w:t>человек, что выше</w:t>
      </w:r>
      <w:r>
        <w:rPr>
          <w:sz w:val="28"/>
        </w:rPr>
        <w:t xml:space="preserve"> </w:t>
      </w:r>
      <w:r>
        <w:rPr>
          <w:sz w:val="28"/>
        </w:rPr>
        <w:t xml:space="preserve">на 1% </w:t>
      </w:r>
      <w:r>
        <w:rPr>
          <w:sz w:val="28"/>
        </w:rPr>
        <w:t>значени</w:t>
      </w:r>
      <w:r>
        <w:rPr>
          <w:sz w:val="28"/>
        </w:rPr>
        <w:t>я предыдущего периода - 22694</w:t>
      </w:r>
      <w:r>
        <w:rPr>
          <w:sz w:val="28"/>
        </w:rPr>
        <w:t>.</w:t>
      </w:r>
    </w:p>
    <w:p w14:paraId="E2000000">
      <w:pPr>
        <w:pStyle w:val="Style_3"/>
        <w:spacing w:after="0" w:before="0" w:line="276" w:lineRule="auto"/>
        <w:ind w:firstLine="709" w:left="0"/>
        <w:jc w:val="both"/>
        <w:rPr>
          <w:sz w:val="28"/>
        </w:rPr>
      </w:pPr>
      <w:r>
        <w:rPr>
          <w:sz w:val="28"/>
        </w:rPr>
        <w:t>В отчетном году п</w:t>
      </w:r>
      <w:r>
        <w:rPr>
          <w:sz w:val="28"/>
        </w:rPr>
        <w:t>роведено 30 мероприятий, в том числе образовательные проекты АНО «РРАПП», круглые столы, семинары, вебинары,</w:t>
      </w:r>
      <w:r>
        <w:rPr>
          <w:sz w:val="28"/>
        </w:rPr>
        <w:t xml:space="preserve"> проведены</w:t>
      </w:r>
      <w:r>
        <w:rPr>
          <w:sz w:val="28"/>
        </w:rPr>
        <w:t xml:space="preserve"> онлайн марафоны с участием 150 субъектов малого и среднего предпринимательства.</w:t>
      </w:r>
    </w:p>
    <w:p w14:paraId="E3000000">
      <w:pPr>
        <w:pStyle w:val="Style_3"/>
        <w:spacing w:after="0" w:before="0" w:line="276" w:lineRule="auto"/>
        <w:ind w:firstLine="709" w:left="0"/>
        <w:jc w:val="both"/>
        <w:rPr>
          <w:sz w:val="28"/>
        </w:rPr>
      </w:pPr>
      <w:r>
        <w:rPr>
          <w:sz w:val="28"/>
        </w:rPr>
        <w:t>Организован и проведен конкурс «Лучший предприниматель года города Волгодонска», в котором приняли участие 8 предпринимателей. Определены и награждены 3 победителя по номинациям «Лучший предприниматель в социальной сфере» - ИП Бодякина И.А., «Лучший предприниматель в сфере общественного питания, торговли и услуг» - ИП Колосов В.М., «Лучший предприниматель в производственной сфере» - ООО «Топаз-сервис».</w:t>
      </w:r>
    </w:p>
    <w:p w14:paraId="E4000000">
      <w:pPr>
        <w:pStyle w:val="Style_3"/>
        <w:spacing w:after="0" w:before="0" w:line="276" w:lineRule="auto"/>
        <w:ind w:firstLine="709" w:left="0"/>
        <w:jc w:val="both"/>
        <w:rPr>
          <w:sz w:val="28"/>
        </w:rPr>
      </w:pPr>
      <w:r>
        <w:rPr>
          <w:sz w:val="28"/>
        </w:rPr>
        <w:t>Оказано 1200 консультаций субъектам малого и среднего предпринимательства. Изготовлены в количестве 150 штук информационные материалы по вопросам развития малого и среднего предпринимательства, которые распространены на мероприятиях и деловых встречах с участием бизнес-сообщества.</w:t>
      </w:r>
    </w:p>
    <w:p w14:paraId="E5000000">
      <w:pPr>
        <w:pStyle w:val="Style_3"/>
        <w:spacing w:after="0" w:before="0" w:line="276" w:lineRule="auto"/>
        <w:ind w:firstLine="709" w:left="0"/>
        <w:jc w:val="both"/>
        <w:rPr>
          <w:sz w:val="28"/>
        </w:rPr>
      </w:pPr>
      <w:r>
        <w:rPr>
          <w:sz w:val="28"/>
        </w:rPr>
        <w:t>Также в рамках информационной поддержки опубликованы 8 информационных статей в газете «Вечерний Волгодонск»,  выпущены 4 телевизионных рубрики на телеканале «ТНТ» о поддержке и развитии предпринимательства.</w:t>
      </w:r>
    </w:p>
    <w:p w14:paraId="E6000000">
      <w:pPr>
        <w:pStyle w:val="Style_3"/>
        <w:spacing w:after="0" w:before="0" w:line="276" w:lineRule="auto"/>
        <w:ind w:firstLine="709" w:left="0"/>
        <w:jc w:val="both"/>
        <w:rPr>
          <w:sz w:val="28"/>
        </w:rPr>
      </w:pPr>
      <w:r>
        <w:rPr>
          <w:sz w:val="28"/>
        </w:rPr>
        <w:t xml:space="preserve">Представители Администрации города Волгодонска и производственные предприятия города принимали участие в выставках, форумах, презентациях, конференциях, содействующих повышению конкурентоспособности и инвестиционной привлекательности города Волгодонска. </w:t>
      </w:r>
    </w:p>
    <w:p w14:paraId="E7000000">
      <w:pPr>
        <w:pStyle w:val="Style_3"/>
        <w:spacing w:after="0" w:before="0" w:line="276" w:lineRule="auto"/>
        <w:ind w:firstLine="709" w:left="0"/>
        <w:jc w:val="both"/>
        <w:rPr>
          <w:sz w:val="28"/>
        </w:rPr>
      </w:pPr>
      <w:r>
        <w:rPr>
          <w:sz w:val="28"/>
        </w:rPr>
        <w:t>В 20</w:t>
      </w:r>
      <w:r>
        <w:rPr>
          <w:sz w:val="28"/>
        </w:rPr>
        <w:t>21</w:t>
      </w:r>
      <w:r>
        <w:rPr>
          <w:sz w:val="28"/>
        </w:rPr>
        <w:t xml:space="preserve"> году проведено пять заседаний Совета по развитию малого и среднего предпринимательства при Администрации города Волгодонска и четыре заседание городской межведомственной комиссии по устранению нормативно-правовых, административных и организационных барьеров на пути развития предпринимательства</w:t>
      </w:r>
      <w:r>
        <w:rPr>
          <w:sz w:val="28"/>
        </w:rPr>
        <w:t xml:space="preserve"> </w:t>
      </w:r>
      <w:r>
        <w:rPr>
          <w:sz w:val="28"/>
        </w:rPr>
        <w:t xml:space="preserve"> по вопросам совершенствования и оптимизации контрольно-надзорной деятельности на региональном и муниципальном уровнях, </w:t>
      </w:r>
      <w:r>
        <w:rPr>
          <w:sz w:val="28"/>
        </w:rPr>
        <w:t>внесения изменений в Перечень муниципального имущества, предназначенного для предоставления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sz w:val="28"/>
        </w:rPr>
        <w:t>. В рамках работы Совета и МВК рассматривались вопросы закрытия пр</w:t>
      </w:r>
      <w:r>
        <w:rPr>
          <w:sz w:val="28"/>
        </w:rPr>
        <w:t>едпринимательской деятельности.</w:t>
      </w:r>
    </w:p>
    <w:p w14:paraId="E8000000">
      <w:pPr>
        <w:pStyle w:val="Style_3"/>
        <w:spacing w:after="0" w:before="0" w:line="276" w:lineRule="auto"/>
        <w:ind w:firstLine="709" w:left="0"/>
        <w:jc w:val="both"/>
        <w:rPr>
          <w:sz w:val="28"/>
        </w:rPr>
      </w:pPr>
      <w:r>
        <w:rPr>
          <w:sz w:val="28"/>
        </w:rPr>
        <w:t xml:space="preserve">Опрошено </w:t>
      </w:r>
      <w:r>
        <w:rPr>
          <w:sz w:val="28"/>
        </w:rPr>
        <w:t>32</w:t>
      </w:r>
      <w:r>
        <w:rPr>
          <w:sz w:val="28"/>
        </w:rPr>
        <w:t>4 субъекта</w:t>
      </w:r>
      <w:r>
        <w:rPr>
          <w:sz w:val="28"/>
        </w:rPr>
        <w:t xml:space="preserve"> предпринимательской деятельности, которые считают о</w:t>
      </w:r>
      <w:r>
        <w:rPr>
          <w:sz w:val="28"/>
        </w:rPr>
        <w:t>сновны</w:t>
      </w:r>
      <w:r>
        <w:rPr>
          <w:sz w:val="28"/>
        </w:rPr>
        <w:t>ми</w:t>
      </w:r>
      <w:r>
        <w:rPr>
          <w:sz w:val="28"/>
        </w:rPr>
        <w:t xml:space="preserve"> причин</w:t>
      </w:r>
      <w:r>
        <w:rPr>
          <w:sz w:val="28"/>
        </w:rPr>
        <w:t>ами закрытия</w:t>
      </w:r>
      <w:r>
        <w:rPr>
          <w:sz w:val="28"/>
        </w:rPr>
        <w:t>:</w:t>
      </w:r>
    </w:p>
    <w:p w14:paraId="E9000000">
      <w:pPr>
        <w:pStyle w:val="Style_3"/>
        <w:spacing w:after="0" w:before="0" w:line="276" w:lineRule="auto"/>
        <w:ind w:firstLine="709" w:left="0"/>
        <w:jc w:val="both"/>
        <w:rPr>
          <w:sz w:val="28"/>
        </w:rPr>
      </w:pPr>
      <w:r>
        <w:rPr>
          <w:sz w:val="28"/>
        </w:rPr>
        <w:t>- проблемы со сбытом продукции (3</w:t>
      </w:r>
      <w:r>
        <w:rPr>
          <w:sz w:val="28"/>
        </w:rPr>
        <w:t>1</w:t>
      </w:r>
      <w:r>
        <w:rPr>
          <w:sz w:val="28"/>
        </w:rPr>
        <w:t>%);</w:t>
      </w:r>
    </w:p>
    <w:p w14:paraId="EA000000">
      <w:pPr>
        <w:pStyle w:val="Style_3"/>
        <w:spacing w:after="0" w:before="0" w:line="276" w:lineRule="auto"/>
        <w:ind w:firstLine="709" w:left="0"/>
        <w:jc w:val="both"/>
        <w:rPr>
          <w:sz w:val="28"/>
        </w:rPr>
      </w:pPr>
      <w:r>
        <w:rPr>
          <w:sz w:val="28"/>
        </w:rPr>
        <w:t>- непосильное налогообложение (2</w:t>
      </w:r>
      <w:r>
        <w:rPr>
          <w:sz w:val="28"/>
        </w:rPr>
        <w:t>0</w:t>
      </w:r>
      <w:r>
        <w:rPr>
          <w:sz w:val="28"/>
        </w:rPr>
        <w:t>%);</w:t>
      </w:r>
    </w:p>
    <w:p w14:paraId="EB000000">
      <w:pPr>
        <w:pStyle w:val="Style_3"/>
        <w:spacing w:after="0" w:before="0" w:line="276" w:lineRule="auto"/>
        <w:ind w:firstLine="709" w:left="0"/>
        <w:jc w:val="both"/>
        <w:rPr>
          <w:sz w:val="28"/>
        </w:rPr>
      </w:pPr>
      <w:r>
        <w:rPr>
          <w:sz w:val="28"/>
        </w:rPr>
        <w:t>- высокие проценты по полученным кредитам (1</w:t>
      </w:r>
      <w:r>
        <w:rPr>
          <w:sz w:val="28"/>
        </w:rPr>
        <w:t>0</w:t>
      </w:r>
      <w:r>
        <w:rPr>
          <w:sz w:val="28"/>
        </w:rPr>
        <w:t>%).</w:t>
      </w:r>
    </w:p>
    <w:p w14:paraId="EC000000">
      <w:pPr>
        <w:pStyle w:val="Style_3"/>
        <w:spacing w:after="0" w:before="0" w:line="276" w:lineRule="auto"/>
        <w:ind w:firstLine="709" w:left="0"/>
        <w:jc w:val="both"/>
        <w:rPr>
          <w:sz w:val="28"/>
        </w:rPr>
      </w:pPr>
      <w:r>
        <w:rPr>
          <w:sz w:val="28"/>
        </w:rPr>
        <w:t xml:space="preserve">- на бюрократические процедуры жалуются </w:t>
      </w:r>
      <w:r>
        <w:rPr>
          <w:sz w:val="28"/>
        </w:rPr>
        <w:t>10</w:t>
      </w:r>
      <w:r>
        <w:rPr>
          <w:sz w:val="28"/>
        </w:rPr>
        <w:t>% опрошенных;</w:t>
      </w:r>
    </w:p>
    <w:p w14:paraId="ED000000">
      <w:pPr>
        <w:pStyle w:val="Style_3"/>
        <w:spacing w:after="0" w:before="0" w:line="276" w:lineRule="auto"/>
        <w:ind w:firstLine="709" w:left="0"/>
        <w:jc w:val="both"/>
        <w:rPr>
          <w:sz w:val="28"/>
        </w:rPr>
      </w:pPr>
      <w:r>
        <w:rPr>
          <w:sz w:val="28"/>
        </w:rPr>
        <w:t>- чрезмерную нагрузку от проверок и инспекций отметили 4% опрошенных;</w:t>
      </w:r>
    </w:p>
    <w:p w14:paraId="EE000000">
      <w:pPr>
        <w:pStyle w:val="Style_7"/>
        <w:ind w:firstLine="709" w:left="0"/>
        <w:jc w:val="both"/>
        <w:rPr>
          <w:rFonts w:ascii="Times New Roman" w:hAnsi="Times New Roman"/>
        </w:rPr>
      </w:pPr>
      <w:r>
        <w:rPr>
          <w:rFonts w:ascii="Times New Roman" w:hAnsi="Times New Roman"/>
        </w:rPr>
        <w:t>-  среди других причин закрытия предпринимательской деятельности (25%) стали трудоустройство в качестве наемного работника, уход на пенсию, семейные обстоятельства, высокая арендная плата, банкротство.</w:t>
      </w:r>
    </w:p>
    <w:p w14:paraId="EF000000">
      <w:pPr>
        <w:pStyle w:val="Style_3"/>
        <w:spacing w:after="0" w:before="0" w:line="276" w:lineRule="auto"/>
        <w:ind w:firstLine="709" w:left="0"/>
        <w:jc w:val="both"/>
        <w:rPr>
          <w:sz w:val="28"/>
        </w:rPr>
      </w:pPr>
      <w:r>
        <w:rPr>
          <w:sz w:val="28"/>
        </w:rPr>
        <w:t>Для информационного обеспечения и предоставления доступа субъектов МСП, организаций, образующих инфраструктуру поддержки субъектов МСП, к исчерпывающей информации в сфере развития и поддержки предпринимательства изготовлен информационный материал для начинающих предпринимателей, создана телевизионная рубрика «Деловой Волгодонск».</w:t>
      </w:r>
    </w:p>
    <w:p w14:paraId="F0000000">
      <w:pPr>
        <w:pStyle w:val="Style_3"/>
        <w:spacing w:after="0" w:before="0" w:line="276" w:lineRule="auto"/>
        <w:ind w:firstLine="709" w:left="0"/>
        <w:jc w:val="both"/>
        <w:rPr>
          <w:sz w:val="28"/>
        </w:rPr>
      </w:pPr>
      <w:r>
        <w:rPr>
          <w:sz w:val="28"/>
        </w:rPr>
        <w:t>В 20</w:t>
      </w:r>
      <w:r>
        <w:rPr>
          <w:sz w:val="28"/>
        </w:rPr>
        <w:t>21</w:t>
      </w:r>
      <w:r>
        <w:rPr>
          <w:sz w:val="28"/>
        </w:rPr>
        <w:t xml:space="preserve"> году обеспечена эффективная и доступная защита прав потребителей в городе Волгодонске. </w:t>
      </w:r>
      <w:r>
        <w:rPr>
          <w:sz w:val="28"/>
        </w:rPr>
        <w:t xml:space="preserve">Оказаны консультационные, юридические услуги по обработке обращений граждан, связанных с вопросами защиты прав потребителей, проведены </w:t>
      </w:r>
      <w:r>
        <w:rPr>
          <w:sz w:val="28"/>
        </w:rPr>
        <w:t>выездные семинары для хозяйствующих субъектов</w:t>
      </w:r>
      <w:r>
        <w:rPr>
          <w:sz w:val="28"/>
        </w:rPr>
        <w:t>,</w:t>
      </w:r>
      <w:r>
        <w:rPr>
          <w:sz w:val="28"/>
        </w:rPr>
        <w:t xml:space="preserve"> обучающие занятия для школьников и студентов, организованы и проведены конкурсы, выставки-дегустации, акции для потребителей, изготовлены и распространены информационные материалы по защите прав потребителей.</w:t>
      </w:r>
      <w:r>
        <w:rPr>
          <w:sz w:val="28"/>
        </w:rPr>
        <w:t xml:space="preserve"> Обеспечен</w:t>
      </w:r>
      <w:r>
        <w:rPr>
          <w:sz w:val="28"/>
        </w:rPr>
        <w:t>о</w:t>
      </w:r>
      <w:r>
        <w:rPr>
          <w:sz w:val="28"/>
        </w:rPr>
        <w:t xml:space="preserve"> </w:t>
      </w:r>
      <w:r>
        <w:rPr>
          <w:sz w:val="28"/>
        </w:rPr>
        <w:t>регулярное размещение актуальной информации в СМИ</w:t>
      </w:r>
      <w:r>
        <w:rPr>
          <w:sz w:val="28"/>
        </w:rPr>
        <w:t xml:space="preserve"> для повышения потребительской грамотности населения.</w:t>
      </w:r>
    </w:p>
    <w:p w14:paraId="F1000000">
      <w:pPr>
        <w:spacing w:after="0" w:line="240" w:lineRule="auto"/>
        <w:ind w:firstLine="709" w:left="0"/>
        <w:jc w:val="both"/>
        <w:rPr>
          <w:rFonts w:ascii="Times New Roman" w:hAnsi="Times New Roman"/>
          <w:sz w:val="28"/>
        </w:rPr>
      </w:pPr>
      <w:r>
        <w:rPr>
          <w:rFonts w:ascii="Times New Roman" w:hAnsi="Times New Roman"/>
          <w:sz w:val="28"/>
        </w:rPr>
        <w:t>На территории города Волгодонска реализуется Национальный проект «Малое и среднее предпринимательства и поддержка индивидуальной предпринимательской инициативы» и два региональных проекта: «Акселерация субъектов малого и среднего предпринимательства», «Популяризация предпринимательства Спектр оказываемых Центром «Мой бизнес» услуг достаточно широк</w:t>
      </w:r>
      <w:r>
        <w:rPr>
          <w:rFonts w:ascii="Times New Roman" w:hAnsi="Times New Roman"/>
          <w:sz w:val="28"/>
        </w:rPr>
        <w:t xml:space="preserve"> </w:t>
      </w:r>
      <w:r>
        <w:rPr>
          <w:rFonts w:ascii="Times New Roman" w:hAnsi="Times New Roman"/>
          <w:sz w:val="28"/>
        </w:rPr>
        <w:t>– от</w:t>
      </w:r>
      <w:r>
        <w:rPr>
          <w:rFonts w:ascii="Times New Roman" w:hAnsi="Times New Roman"/>
          <w:sz w:val="28"/>
        </w:rPr>
        <w:t xml:space="preserve"> </w:t>
      </w:r>
      <w:r>
        <w:rPr>
          <w:rFonts w:ascii="Times New Roman" w:hAnsi="Times New Roman"/>
          <w:sz w:val="28"/>
        </w:rPr>
        <w:t>подачи документов на</w:t>
      </w:r>
      <w:r>
        <w:rPr>
          <w:rFonts w:ascii="Times New Roman" w:hAnsi="Times New Roman"/>
          <w:sz w:val="28"/>
        </w:rPr>
        <w:t xml:space="preserve"> </w:t>
      </w:r>
      <w:r>
        <w:rPr>
          <w:rFonts w:ascii="Times New Roman" w:hAnsi="Times New Roman"/>
          <w:sz w:val="28"/>
        </w:rPr>
        <w:t>регистрацию в</w:t>
      </w:r>
      <w:r>
        <w:rPr>
          <w:rFonts w:ascii="Times New Roman" w:hAnsi="Times New Roman"/>
          <w:sz w:val="28"/>
        </w:rPr>
        <w:t xml:space="preserve"> </w:t>
      </w:r>
      <w:r>
        <w:rPr>
          <w:rFonts w:ascii="Times New Roman" w:hAnsi="Times New Roman"/>
          <w:sz w:val="28"/>
        </w:rPr>
        <w:t>качестве индивидуального предпринимателя или юридического лица, консультирования и подачи заявки на получение поддержки Микрофинансовой компании, Гарантийного фонда, Центра кластерного развития, Регионального центра инжиниринга, Региональной лизинговой компании, Центра поддержки экспорта, Фонда содействия инновациям, до</w:t>
      </w:r>
      <w:r>
        <w:rPr>
          <w:rFonts w:ascii="Times New Roman" w:hAnsi="Times New Roman"/>
          <w:sz w:val="28"/>
        </w:rPr>
        <w:t xml:space="preserve"> </w:t>
      </w:r>
      <w:r>
        <w:rPr>
          <w:rFonts w:ascii="Times New Roman" w:hAnsi="Times New Roman"/>
          <w:sz w:val="28"/>
        </w:rPr>
        <w:t>услуг корпорации МСП – уполномоченной организации РФ по</w:t>
      </w:r>
      <w:r>
        <w:rPr>
          <w:rFonts w:ascii="Times New Roman" w:hAnsi="Times New Roman"/>
          <w:sz w:val="28"/>
        </w:rPr>
        <w:t xml:space="preserve"> </w:t>
      </w:r>
      <w:r>
        <w:rPr>
          <w:rFonts w:ascii="Times New Roman" w:hAnsi="Times New Roman"/>
          <w:sz w:val="28"/>
        </w:rPr>
        <w:t>поддержке субъектов малого и</w:t>
      </w:r>
      <w:r>
        <w:rPr>
          <w:rFonts w:ascii="Times New Roman" w:hAnsi="Times New Roman"/>
          <w:sz w:val="28"/>
        </w:rPr>
        <w:t xml:space="preserve"> </w:t>
      </w:r>
      <w:r>
        <w:rPr>
          <w:rFonts w:ascii="Times New Roman" w:hAnsi="Times New Roman"/>
          <w:sz w:val="28"/>
        </w:rPr>
        <w:t>среднего бизнеса.</w:t>
      </w:r>
    </w:p>
    <w:p w14:paraId="F2000000">
      <w:pPr>
        <w:spacing w:after="0" w:line="240" w:lineRule="auto"/>
        <w:ind w:firstLine="709" w:left="0"/>
        <w:jc w:val="both"/>
        <w:rPr>
          <w:rFonts w:ascii="Times New Roman" w:hAnsi="Times New Roman"/>
          <w:sz w:val="28"/>
        </w:rPr>
      </w:pPr>
      <w:r>
        <w:rPr>
          <w:rFonts w:ascii="Times New Roman" w:hAnsi="Times New Roman"/>
          <w:sz w:val="28"/>
        </w:rPr>
        <w:t>В период с 11.01.2021 по 30.12.2021 на базе центра «Мой бизнес» города Волгодонска:</w:t>
      </w:r>
    </w:p>
    <w:p w14:paraId="F3000000">
      <w:pPr>
        <w:spacing w:after="0" w:line="240" w:lineRule="auto"/>
        <w:ind/>
        <w:jc w:val="both"/>
        <w:rPr>
          <w:rFonts w:ascii="Times New Roman" w:hAnsi="Times New Roman"/>
          <w:sz w:val="28"/>
        </w:rPr>
      </w:pPr>
      <w:r>
        <w:rPr>
          <w:rFonts w:ascii="Times New Roman" w:hAnsi="Times New Roman"/>
          <w:sz w:val="28"/>
        </w:rPr>
        <w:t xml:space="preserve">       - оказано 459 консультаций субъектам малого и среднего предпринимательства и физическим лицам, планирующим осуществление предпринимательской деятельности, по вопросам финансового планирования, начала ведения собственного дела, по правовому обеспечению деятельности и государственной поддержки субъектов малого и среднего предпринимательства;</w:t>
      </w:r>
    </w:p>
    <w:p w14:paraId="F4000000">
      <w:pPr>
        <w:spacing w:after="0" w:line="240" w:lineRule="auto"/>
        <w:ind/>
        <w:jc w:val="both"/>
        <w:rPr>
          <w:rFonts w:ascii="Times New Roman" w:hAnsi="Times New Roman"/>
          <w:sz w:val="28"/>
        </w:rPr>
      </w:pPr>
      <w:r>
        <w:rPr>
          <w:rFonts w:ascii="Times New Roman" w:hAnsi="Times New Roman"/>
          <w:sz w:val="28"/>
        </w:rPr>
        <w:t xml:space="preserve">       - проведены 26 мероприятий в формате семинаров, вебинаров, бизнес-игры, участие в которых приняли 316 субъектов малого и среднего предпринимательства и 70 физических лиц;</w:t>
      </w:r>
    </w:p>
    <w:p w14:paraId="F5000000">
      <w:pPr>
        <w:spacing w:after="0" w:line="240" w:lineRule="auto"/>
        <w:ind/>
        <w:jc w:val="both"/>
        <w:rPr>
          <w:rFonts w:ascii="Times New Roman" w:hAnsi="Times New Roman"/>
          <w:sz w:val="28"/>
        </w:rPr>
      </w:pPr>
      <w:r>
        <w:rPr>
          <w:rFonts w:ascii="Times New Roman" w:hAnsi="Times New Roman"/>
          <w:sz w:val="28"/>
        </w:rPr>
        <w:t xml:space="preserve">       - оказаны услуги по регистрации 9 физических лиц в качестве индивидуальных предпринимателей, 13 физических лиц - в качестве плательщика налога на профессиональный доход (самозанятые).</w:t>
      </w:r>
    </w:p>
    <w:p w14:paraId="F6000000">
      <w:pPr>
        <w:spacing w:after="0" w:line="240" w:lineRule="auto"/>
        <w:ind w:firstLine="708" w:left="0"/>
        <w:jc w:val="both"/>
        <w:rPr>
          <w:rFonts w:ascii="Times New Roman" w:hAnsi="Times New Roman"/>
          <w:sz w:val="28"/>
        </w:rPr>
      </w:pPr>
      <w:r>
        <w:rPr>
          <w:rFonts w:ascii="Times New Roman" w:hAnsi="Times New Roman"/>
          <w:sz w:val="28"/>
        </w:rPr>
        <w:t xml:space="preserve">В целях поддержки бизнеса в МАУ «МФЦ» работают 2 бизнес-окна в офисе по ул. Академика Королева, д. 1 а, 1 бизнес-окно непосредственно на площадке банка ПАО КБ «Центр-инвест», расположенного по ул. М. Горького, д.143, 1 бизнес-окно в офисе РРАПП (Ростовское Региональное Агентство Поддержки Предпринимательства) «Мой бизнес» на ул.Морской, д.102, которые предназначены для предоставления исключительно юридическим лицам и индивидуальным предпринимателям услуг, необходимых для начала осуществления и развития предпринимательской деятельности. </w:t>
      </w:r>
    </w:p>
    <w:p w14:paraId="F7000000">
      <w:pPr>
        <w:spacing w:after="0" w:line="240" w:lineRule="auto"/>
        <w:ind w:firstLine="708" w:left="0"/>
        <w:jc w:val="both"/>
        <w:rPr>
          <w:rFonts w:ascii="Times New Roman" w:hAnsi="Times New Roman"/>
          <w:sz w:val="28"/>
        </w:rPr>
      </w:pPr>
      <w:r>
        <w:rPr>
          <w:rFonts w:ascii="Times New Roman" w:hAnsi="Times New Roman"/>
          <w:sz w:val="28"/>
        </w:rPr>
        <w:t>В каждом офисе МФЦ есть гостевой компьютер, где гражданин может подать заявку с помощью нашего специалиста. Кроме этого, для жителей нашего города работает электронный сервис «Правовая помощь онлайн»</w:t>
      </w:r>
      <w:r>
        <w:rPr>
          <w:rFonts w:ascii="Times New Roman" w:hAnsi="Times New Roman"/>
          <w:sz w:val="28"/>
        </w:rPr>
        <w:t>, и теперь в</w:t>
      </w:r>
      <w:r>
        <w:rPr>
          <w:rFonts w:ascii="Times New Roman" w:hAnsi="Times New Roman"/>
          <w:sz w:val="28"/>
        </w:rPr>
        <w:t xml:space="preserve">идеосвязь гражданина со специалистами уполномоченного органа </w:t>
      </w:r>
      <w:r>
        <w:rPr>
          <w:rFonts w:ascii="Times New Roman" w:hAnsi="Times New Roman"/>
          <w:sz w:val="28"/>
        </w:rPr>
        <w:t xml:space="preserve">может осуществляться не только из </w:t>
      </w:r>
      <w:r>
        <w:rPr>
          <w:rFonts w:ascii="Times New Roman" w:hAnsi="Times New Roman"/>
          <w:sz w:val="28"/>
        </w:rPr>
        <w:t>МФЦ</w:t>
      </w:r>
      <w:r>
        <w:rPr>
          <w:rFonts w:ascii="Times New Roman" w:hAnsi="Times New Roman"/>
          <w:sz w:val="28"/>
        </w:rPr>
        <w:t>, но и с домашнего компьютера.</w:t>
      </w:r>
    </w:p>
    <w:p w14:paraId="F8000000">
      <w:pPr>
        <w:spacing w:after="0" w:line="240" w:lineRule="auto"/>
        <w:ind w:firstLine="708" w:left="0"/>
        <w:jc w:val="both"/>
        <w:rPr>
          <w:rFonts w:ascii="Times New Roman" w:hAnsi="Times New Roman"/>
          <w:sz w:val="28"/>
        </w:rPr>
      </w:pPr>
      <w:r>
        <w:rPr>
          <w:rFonts w:ascii="Times New Roman" w:hAnsi="Times New Roman"/>
          <w:sz w:val="28"/>
        </w:rPr>
        <w:t>Так же МФЦ полностью перешел на взаимодействие в электронном виде с Налоговой службой. Теперь на приеме документы сканируются и сразу отправляются в электронном виде в ФНС №26 в Ростове-на-Дону. Результаты выдаются в МФЦ, заверенные ЭЦП ФНС.</w:t>
      </w:r>
    </w:p>
    <w:p w14:paraId="F9000000">
      <w:pPr>
        <w:spacing w:after="0" w:line="240" w:lineRule="auto"/>
        <w:ind w:firstLine="708" w:left="0"/>
        <w:jc w:val="both"/>
        <w:rPr>
          <w:rFonts w:ascii="Times New Roman" w:hAnsi="Times New Roman"/>
          <w:sz w:val="28"/>
        </w:rPr>
      </w:pPr>
      <w:r>
        <w:rPr>
          <w:rFonts w:ascii="Times New Roman" w:hAnsi="Times New Roman"/>
          <w:sz w:val="28"/>
        </w:rPr>
        <w:t>Количество услуг, предоставляемых на базе МАУ «МФЦ», по состоянию на 01.01.2</w:t>
      </w:r>
      <w:r>
        <w:rPr>
          <w:rFonts w:ascii="Times New Roman" w:hAnsi="Times New Roman"/>
          <w:sz w:val="28"/>
        </w:rPr>
        <w:t>02</w:t>
      </w:r>
      <w:r>
        <w:rPr>
          <w:rFonts w:ascii="Times New Roman" w:hAnsi="Times New Roman"/>
          <w:sz w:val="28"/>
        </w:rPr>
        <w:t>1</w:t>
      </w:r>
      <w:r>
        <w:rPr>
          <w:rFonts w:ascii="Times New Roman" w:hAnsi="Times New Roman"/>
          <w:sz w:val="28"/>
        </w:rPr>
        <w:t xml:space="preserve"> года более трехсот (301 государственная и муниципальная услуга, в том числе 99 дополнительных (сопутствующих) негосударственных услуг для субъектов предпринимательства).</w:t>
      </w:r>
    </w:p>
    <w:p w14:paraId="FA000000">
      <w:pPr>
        <w:spacing w:after="0" w:line="240" w:lineRule="auto"/>
        <w:ind w:firstLine="708" w:left="0"/>
        <w:jc w:val="both"/>
        <w:rPr>
          <w:rFonts w:ascii="Times New Roman" w:hAnsi="Times New Roman"/>
          <w:sz w:val="28"/>
        </w:rPr>
      </w:pPr>
      <w:r>
        <w:rPr>
          <w:rFonts w:ascii="Times New Roman" w:hAnsi="Times New Roman"/>
          <w:sz w:val="28"/>
        </w:rPr>
        <w:t>В целях развития туризма и удовлетворения спроса потребителей на туристские услуги в 20</w:t>
      </w:r>
      <w:r>
        <w:rPr>
          <w:rFonts w:ascii="Times New Roman" w:hAnsi="Times New Roman"/>
          <w:sz w:val="28"/>
        </w:rPr>
        <w:t>21</w:t>
      </w:r>
      <w:r>
        <w:rPr>
          <w:rFonts w:ascii="Times New Roman" w:hAnsi="Times New Roman"/>
          <w:sz w:val="28"/>
        </w:rPr>
        <w:t xml:space="preserve"> году </w:t>
      </w:r>
      <w:r>
        <w:rPr>
          <w:rFonts w:ascii="Times New Roman" w:hAnsi="Times New Roman"/>
          <w:sz w:val="28"/>
        </w:rPr>
        <w:t>четвертый</w:t>
      </w:r>
      <w:r>
        <w:rPr>
          <w:rFonts w:ascii="Times New Roman" w:hAnsi="Times New Roman"/>
          <w:sz w:val="28"/>
        </w:rPr>
        <w:t xml:space="preserve"> раз</w:t>
      </w:r>
      <w:r>
        <w:rPr>
          <w:rFonts w:ascii="Times New Roman" w:hAnsi="Times New Roman"/>
          <w:sz w:val="28"/>
        </w:rPr>
        <w:t xml:space="preserve"> в городе Волгодонске </w:t>
      </w:r>
      <w:r>
        <w:rPr>
          <w:rFonts w:ascii="Times New Roman" w:hAnsi="Times New Roman"/>
          <w:sz w:val="28"/>
        </w:rPr>
        <w:t xml:space="preserve">в онлайн-формате (в связи с введением ограничений на территории города Волгодонска в соответствии с постановлением Правительства РО от 05.04.2020 № 272) </w:t>
      </w:r>
      <w:r>
        <w:rPr>
          <w:rFonts w:ascii="Times New Roman" w:hAnsi="Times New Roman"/>
          <w:sz w:val="28"/>
        </w:rPr>
        <w:t>проведен межрегиональный фестиваль исторической реконструкции «Великий шелковый путь на Дону».</w:t>
      </w:r>
      <w:r>
        <w:rPr>
          <w:rFonts w:ascii="Times New Roman" w:hAnsi="Times New Roman"/>
          <w:sz w:val="28"/>
        </w:rPr>
        <w:t xml:space="preserve"> участие в просмотре которого приняли более 50 тысяч человек. Открыты новые культурно-досуговые центры: этнический центр «Степная застава» и парк-центр «Сказочная Русь».</w:t>
      </w:r>
      <w:r>
        <w:rPr>
          <w:rFonts w:ascii="Times New Roman" w:hAnsi="Times New Roman"/>
          <w:sz w:val="28"/>
        </w:rPr>
        <w:t xml:space="preserve"> </w:t>
      </w:r>
      <w:r>
        <w:rPr>
          <w:rFonts w:ascii="Times New Roman" w:hAnsi="Times New Roman"/>
          <w:sz w:val="28"/>
        </w:rPr>
        <w:t>Основная цель работы – организация туристского отдыха наших гостей с учетом природно-зональных особенностей края, водных ресурсов, уникального культурно-исторического наследия, промышленного потенциала города атомщиков, гастрономических брендов.</w:t>
      </w:r>
    </w:p>
    <w:p w14:paraId="FB000000">
      <w:pPr>
        <w:spacing w:after="0" w:line="240" w:lineRule="auto"/>
        <w:ind w:firstLine="708" w:left="0"/>
        <w:jc w:val="both"/>
        <w:rPr>
          <w:rFonts w:ascii="Times New Roman" w:hAnsi="Times New Roman"/>
          <w:sz w:val="28"/>
        </w:rPr>
      </w:pPr>
      <w:r>
        <w:rPr>
          <w:rFonts w:ascii="Times New Roman" w:hAnsi="Times New Roman"/>
          <w:sz w:val="28"/>
        </w:rPr>
        <w:t>В 2021 году на ход развития туристической отрасли оказало существенное влияние введение ограничительных мер, связанных с предотвращением распространения новой коронавирусной инфекции COVID-19.</w:t>
      </w:r>
    </w:p>
    <w:p w14:paraId="FC000000">
      <w:pPr>
        <w:pStyle w:val="Style_8"/>
        <w:spacing w:after="0"/>
        <w:ind w:firstLine="567" w:left="0" w:right="282"/>
        <w:jc w:val="both"/>
        <w:rPr>
          <w:sz w:val="28"/>
        </w:rPr>
      </w:pPr>
      <w:r>
        <w:rPr>
          <w:sz w:val="28"/>
        </w:rPr>
        <w:t xml:space="preserve">Образовательные услуги в городе Волгодонске предоставляют 63 организации, из них 35 дошкольных образовательных организаций, 20 общеобразовательных организаций,  6 организаций дополнительного образования детей, 1 центр психолого-педагогической помощи «Гармония» и МБУ «Центр оздоровления и отдыха «Ивушка» г. Волгодонска. </w:t>
      </w:r>
    </w:p>
    <w:p w14:paraId="FD000000">
      <w:pPr>
        <w:pStyle w:val="Style_9"/>
        <w:ind w:firstLine="709" w:left="0" w:right="-1"/>
        <w:jc w:val="both"/>
        <w:rPr>
          <w:rFonts w:ascii="Times New Roman" w:hAnsi="Times New Roman"/>
          <w:sz w:val="28"/>
        </w:rPr>
      </w:pPr>
      <w:r>
        <w:rPr>
          <w:rFonts w:ascii="Times New Roman" w:hAnsi="Times New Roman"/>
          <w:sz w:val="28"/>
        </w:rPr>
        <w:t>При комплектовании дошкольных образовательных учреждений на 2021-2022 учебный год в целях охвата услугами дошкольного образования детей в возрасте от 1,5 до 3 лет сформированы:</w:t>
      </w:r>
    </w:p>
    <w:p w14:paraId="FE000000">
      <w:pPr>
        <w:pStyle w:val="Style_9"/>
        <w:ind w:firstLine="709" w:left="0" w:right="-1"/>
        <w:jc w:val="both"/>
        <w:rPr>
          <w:rFonts w:ascii="Times New Roman" w:hAnsi="Times New Roman"/>
          <w:sz w:val="28"/>
        </w:rPr>
      </w:pPr>
      <w:r>
        <w:rPr>
          <w:rFonts w:ascii="Times New Roman" w:hAnsi="Times New Roman"/>
          <w:sz w:val="28"/>
        </w:rPr>
        <w:t xml:space="preserve">- в 32 дошкольных образовательных учреждениях группы для детей в возрасте от 2 до 3 лет; </w:t>
      </w:r>
    </w:p>
    <w:p w14:paraId="FF000000">
      <w:pPr>
        <w:pStyle w:val="Style_9"/>
        <w:ind w:firstLine="709" w:left="0" w:right="-1"/>
        <w:jc w:val="both"/>
        <w:rPr>
          <w:rFonts w:ascii="Times New Roman" w:hAnsi="Times New Roman"/>
          <w:sz w:val="28"/>
        </w:rPr>
      </w:pPr>
      <w:r>
        <w:rPr>
          <w:rFonts w:ascii="Times New Roman" w:hAnsi="Times New Roman"/>
          <w:sz w:val="28"/>
        </w:rPr>
        <w:t>- 18 групп на 440 мест для детей в возрасте от 1,5 до 2 лет.</w:t>
      </w:r>
    </w:p>
    <w:p w14:paraId="00010000">
      <w:pPr>
        <w:pStyle w:val="Style_9"/>
        <w:ind w:firstLine="709" w:left="0" w:right="-1"/>
        <w:jc w:val="both"/>
        <w:rPr>
          <w:rFonts w:ascii="Times New Roman" w:hAnsi="Times New Roman"/>
          <w:sz w:val="28"/>
        </w:rPr>
      </w:pPr>
      <w:r>
        <w:rPr>
          <w:rFonts w:ascii="Times New Roman" w:hAnsi="Times New Roman"/>
          <w:sz w:val="28"/>
        </w:rPr>
        <w:t>На текущий период в 17 дошкольных образовательных учреждениях имеются свободные места.</w:t>
      </w:r>
    </w:p>
    <w:p w14:paraId="01010000">
      <w:pPr>
        <w:pStyle w:val="Style_9"/>
        <w:ind w:firstLine="709" w:left="0" w:right="-1"/>
        <w:jc w:val="both"/>
        <w:rPr>
          <w:rFonts w:ascii="Times New Roman" w:hAnsi="Times New Roman"/>
          <w:sz w:val="28"/>
        </w:rPr>
      </w:pPr>
      <w:r>
        <w:rPr>
          <w:rFonts w:ascii="Times New Roman" w:hAnsi="Times New Roman"/>
          <w:sz w:val="28"/>
        </w:rPr>
        <w:t>В МБДОУ ДС «Жемчужинка» г.Волгодонска в виде структурного подразделения детского сада функционирует семейная дошкольная группа по присмотру и уходу без реализации образовательной программы дошкольного образования для воспитанников в возрасте от 2 месяцев до 7 лет.</w:t>
      </w:r>
    </w:p>
    <w:p w14:paraId="02010000">
      <w:pPr>
        <w:pStyle w:val="Style_9"/>
        <w:ind w:firstLine="709" w:left="0" w:right="-1"/>
        <w:jc w:val="both"/>
        <w:rPr>
          <w:rFonts w:ascii="Times New Roman" w:hAnsi="Times New Roman"/>
          <w:sz w:val="28"/>
        </w:rPr>
      </w:pPr>
      <w:r>
        <w:rPr>
          <w:rFonts w:ascii="Times New Roman" w:hAnsi="Times New Roman"/>
          <w:sz w:val="28"/>
        </w:rPr>
        <w:t>На 01.01.2022</w:t>
      </w:r>
      <w:r>
        <w:rPr>
          <w:rFonts w:ascii="Times New Roman" w:hAnsi="Times New Roman"/>
          <w:sz w:val="28"/>
        </w:rPr>
        <w:t xml:space="preserve"> года</w:t>
      </w:r>
      <w:r>
        <w:rPr>
          <w:rFonts w:ascii="Times New Roman" w:hAnsi="Times New Roman"/>
          <w:sz w:val="28"/>
        </w:rPr>
        <w:t xml:space="preserve"> 124 ребенка, среди которых 41 ребенок в возрасте до 3 лет, посещают частные организации, осуществляющие образовательную деятельность по образовательным программам дошкольного образования, присмотр и уход (Центр детского развития частный детский сад «Премьер», ИП Бодякина И.А., Частный детский Монтессори сад «Сказка», ИП Т.В.Усова). </w:t>
      </w:r>
    </w:p>
    <w:p w14:paraId="03010000">
      <w:pPr>
        <w:pStyle w:val="Style_9"/>
        <w:ind w:firstLine="709" w:left="0" w:right="-1"/>
        <w:jc w:val="both"/>
        <w:rPr>
          <w:rFonts w:ascii="Times New Roman" w:hAnsi="Times New Roman"/>
          <w:sz w:val="28"/>
        </w:rPr>
      </w:pPr>
      <w:r>
        <w:rPr>
          <w:rFonts w:ascii="Times New Roman" w:hAnsi="Times New Roman"/>
          <w:sz w:val="28"/>
        </w:rPr>
        <w:t>С целью достижения показателя «Количество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на базе 6 дошкольных образовательных учреждений (МБДОУ ДС «Лазорики», МБДОУ ДС «Парус», МБДОУ ДС «Одуванчик»  г.Волгодонска, МБДОУ ДС «Аленький цветочек», МБДОУ ДС «Малыш», МБДОУ ДС «Рябинушка», МБДОУ ДС «Аленушка», МБДОУ ДС «Колобок», МБУ ЦППМСП «Гармония»</w:t>
      </w:r>
      <w:r>
        <w:rPr>
          <w:rFonts w:ascii="Times New Roman" w:hAnsi="Times New Roman"/>
          <w:sz w:val="28"/>
        </w:rPr>
        <w:t>)</w:t>
      </w:r>
      <w:r>
        <w:rPr>
          <w:rFonts w:ascii="Times New Roman" w:hAnsi="Times New Roman"/>
          <w:sz w:val="28"/>
        </w:rPr>
        <w:t xml:space="preserve"> функционируют центры консультационной помощи родителям детей, получающих дошкольное образование в семье, а также Службы ранней помощи, оказывающие консультативную помощь родителям по вопросам их обучения, воспитания, развития. </w:t>
      </w:r>
    </w:p>
    <w:p w14:paraId="04010000">
      <w:pPr>
        <w:pStyle w:val="Style_9"/>
        <w:ind w:firstLine="709" w:left="0" w:right="-1"/>
        <w:jc w:val="both"/>
        <w:rPr>
          <w:rFonts w:ascii="Times New Roman" w:hAnsi="Times New Roman"/>
          <w:sz w:val="28"/>
        </w:rPr>
      </w:pPr>
      <w:r>
        <w:rPr>
          <w:rFonts w:ascii="Times New Roman" w:hAnsi="Times New Roman"/>
          <w:sz w:val="28"/>
        </w:rPr>
        <w:t>Предоставление психолого-педагогической, методической и консультативной помощи гражданам, желающим принять на воспитание в свои семьи детей, оставшихся без попечения родителей, организовано на базе МБУ ЦППМСП «Гармония» г.Волгодонска.</w:t>
      </w:r>
    </w:p>
    <w:p w14:paraId="05010000">
      <w:pPr>
        <w:pStyle w:val="Style_9"/>
        <w:ind w:firstLine="709" w:left="0" w:right="-1"/>
        <w:jc w:val="both"/>
        <w:rPr>
          <w:rFonts w:ascii="Times New Roman" w:hAnsi="Times New Roman"/>
          <w:sz w:val="28"/>
        </w:rPr>
      </w:pPr>
      <w:r>
        <w:rPr>
          <w:rFonts w:ascii="Times New Roman" w:hAnsi="Times New Roman"/>
          <w:sz w:val="28"/>
        </w:rPr>
        <w:t xml:space="preserve">Общий охват детей в возрасте от 5 до 18 лет программами дополнительного образования на территории города Волгодонска с учетом учреждений культуры и спорта, учреждений СПО на 31.12.2021 составил 82,7%. Для достижения данного показателя обучающимся и родителям предложен широкий выбор направленностей дополнительного образования: художественное, техническое, туристско-краеведческое, социально-педагогическое, </w:t>
      </w:r>
      <w:r>
        <w:rPr>
          <w:rFonts w:ascii="Times New Roman" w:hAnsi="Times New Roman"/>
          <w:sz w:val="28"/>
        </w:rPr>
        <w:fldChar w:fldCharType="begin"/>
      </w:r>
      <w:r>
        <w:rPr>
          <w:rFonts w:ascii="Times New Roman" w:hAnsi="Times New Roman"/>
          <w:sz w:val="28"/>
        </w:rPr>
        <w:instrText>HYPERLINK "https://pandia.ru/text/category/yekologicheskoe_obrazovanie/" \o "Экологическое образование"</w:instrText>
      </w:r>
      <w:r>
        <w:rPr>
          <w:rFonts w:ascii="Times New Roman" w:hAnsi="Times New Roman"/>
          <w:sz w:val="28"/>
        </w:rPr>
        <w:fldChar w:fldCharType="separate"/>
      </w:r>
      <w:r>
        <w:rPr>
          <w:rFonts w:ascii="Times New Roman" w:hAnsi="Times New Roman"/>
          <w:sz w:val="28"/>
        </w:rPr>
        <w:t>естественнонаучное, физкультурно-спортивное</w:t>
      </w:r>
      <w:r>
        <w:rPr>
          <w:rFonts w:ascii="Times New Roman" w:hAnsi="Times New Roman"/>
          <w:sz w:val="28"/>
        </w:rPr>
        <w:fldChar w:fldCharType="end"/>
      </w:r>
      <w:r>
        <w:rPr>
          <w:rFonts w:ascii="Times New Roman" w:hAnsi="Times New Roman"/>
          <w:sz w:val="28"/>
        </w:rPr>
        <w:t xml:space="preserve">. </w:t>
      </w:r>
    </w:p>
    <w:p w14:paraId="06010000">
      <w:pPr>
        <w:pStyle w:val="Style_9"/>
        <w:ind w:firstLine="709" w:left="0" w:right="-1"/>
        <w:jc w:val="both"/>
        <w:rPr>
          <w:rFonts w:ascii="Times New Roman" w:hAnsi="Times New Roman"/>
          <w:sz w:val="28"/>
        </w:rPr>
      </w:pPr>
      <w:r>
        <w:rPr>
          <w:rFonts w:ascii="Times New Roman" w:hAnsi="Times New Roman"/>
          <w:sz w:val="28"/>
        </w:rPr>
        <w:t>С целью углубленного освоения основных образовательных программ основного общего и среднего общего образования, внеурочной деятельности, программ дополнительного образования, в том числе естественно-научной и технической направленностей по результатам конкурсного отбора с 1 сентября 2021 года на базе МБОУ СШ № 5 г.Волгодонска открыт детский технопарк «Кванториум».</w:t>
      </w:r>
    </w:p>
    <w:p w14:paraId="07010000">
      <w:pPr>
        <w:pStyle w:val="Style_9"/>
        <w:ind w:firstLine="709" w:left="0" w:right="-1"/>
        <w:jc w:val="both"/>
        <w:rPr>
          <w:rFonts w:ascii="Times New Roman" w:hAnsi="Times New Roman"/>
          <w:sz w:val="28"/>
        </w:rPr>
      </w:pPr>
      <w:r>
        <w:rPr>
          <w:rFonts w:ascii="Times New Roman" w:hAnsi="Times New Roman"/>
          <w:sz w:val="28"/>
        </w:rPr>
        <w:t>Сфера культуры города Волгодонска представлена 11 учреждениями культуры, в которых работают 690 человек.</w:t>
      </w:r>
    </w:p>
    <w:p w14:paraId="08010000">
      <w:pPr>
        <w:pStyle w:val="Style_9"/>
        <w:ind w:firstLine="709" w:left="0" w:right="-1"/>
        <w:jc w:val="both"/>
        <w:rPr>
          <w:rFonts w:ascii="Times New Roman" w:hAnsi="Times New Roman"/>
          <w:sz w:val="28"/>
        </w:rPr>
      </w:pPr>
      <w:r>
        <w:rPr>
          <w:rFonts w:ascii="Times New Roman" w:hAnsi="Times New Roman"/>
          <w:sz w:val="28"/>
        </w:rPr>
        <w:t xml:space="preserve">На базе клубных учреждений города Волгодонска по состоянию на 01.01.2022 работает 209 культурно - досуговых формирований, в которых занимаются 4 133 человека. В отчетном периоде клубными учреждениями города проведено 3 432 культурно-массовых мероприятия как в онлайн, так и оффлайн форматах. </w:t>
      </w:r>
    </w:p>
    <w:p w14:paraId="09010000">
      <w:pPr>
        <w:pStyle w:val="Style_9"/>
        <w:ind w:firstLine="709" w:left="0" w:right="-1"/>
        <w:jc w:val="both"/>
        <w:rPr>
          <w:rFonts w:ascii="Times New Roman" w:hAnsi="Times New Roman"/>
          <w:sz w:val="28"/>
        </w:rPr>
      </w:pPr>
      <w:r>
        <w:rPr>
          <w:rFonts w:ascii="Times New Roman" w:hAnsi="Times New Roman"/>
          <w:sz w:val="28"/>
        </w:rPr>
        <w:t xml:space="preserve">Благодаря переходу фестивалей и конкурсов в режим «онлайн» открылись новые горизонты для участия в «онлайн» и «оффлайн» проектах. В 2021 году творческие коллективы приняли участие в более чем 400 конкурсах различного уровня. </w:t>
      </w:r>
    </w:p>
    <w:p w14:paraId="0A010000">
      <w:pPr>
        <w:pStyle w:val="Style_9"/>
        <w:ind w:firstLine="709" w:left="0" w:right="-1"/>
        <w:jc w:val="both"/>
        <w:rPr>
          <w:rFonts w:ascii="Times New Roman" w:hAnsi="Times New Roman"/>
          <w:sz w:val="28"/>
        </w:rPr>
      </w:pPr>
      <w:r>
        <w:rPr>
          <w:rFonts w:ascii="Times New Roman" w:hAnsi="Times New Roman"/>
          <w:sz w:val="28"/>
        </w:rPr>
        <w:t>Муниципальные учреждения культурно-досугового типа города Волгодонска в рейтинговой таблице министерства культуры Ростовской области по итогам работы за 2021 год заняли 1 место среди учреждений культурно-досугового типа городов Ростовской области.</w:t>
      </w:r>
    </w:p>
    <w:p w14:paraId="0B010000">
      <w:pPr>
        <w:pStyle w:val="Style_10"/>
        <w:spacing w:after="0" w:line="240" w:lineRule="auto"/>
        <w:ind w:firstLine="709" w:left="0"/>
        <w:jc w:val="both"/>
        <w:rPr>
          <w:rFonts w:ascii="Times New Roman" w:hAnsi="Times New Roman"/>
          <w:sz w:val="28"/>
        </w:rPr>
      </w:pPr>
      <w:r>
        <w:rPr>
          <w:sz w:val="28"/>
        </w:rPr>
        <w:t xml:space="preserve">Особое внимание в системе дошкольного образования было уделено предоставлению </w:t>
      </w:r>
      <w:r>
        <w:rPr>
          <w:rFonts w:ascii="Times New Roman" w:hAnsi="Times New Roman"/>
          <w:sz w:val="28"/>
        </w:rPr>
        <w:t xml:space="preserve">коррекционных услуг для детей с ограниченными возможностями здоровья и детей-инвалидов. </w:t>
      </w:r>
    </w:p>
    <w:p w14:paraId="0C010000">
      <w:pPr>
        <w:pStyle w:val="Style_10"/>
        <w:spacing w:after="0" w:line="240" w:lineRule="auto"/>
        <w:ind w:firstLine="709" w:left="0"/>
        <w:jc w:val="both"/>
        <w:rPr>
          <w:rFonts w:ascii="Times New Roman" w:hAnsi="Times New Roman"/>
          <w:sz w:val="28"/>
        </w:rPr>
      </w:pPr>
      <w:r>
        <w:rPr>
          <w:rFonts w:ascii="Times New Roman" w:hAnsi="Times New Roman"/>
          <w:sz w:val="28"/>
        </w:rPr>
        <w:t>Согласно контрольной цифре по вводу жилья в эксплуатацию на 2021-2030 гг. на территории г.Волгодонска, на территории города Волгодонска на 2021 год составляет 58,6 тыс.кв.м.</w:t>
      </w:r>
    </w:p>
    <w:p w14:paraId="0D010000">
      <w:pPr>
        <w:pStyle w:val="Style_10"/>
        <w:spacing w:after="0" w:line="240" w:lineRule="auto"/>
        <w:ind w:firstLine="709" w:left="0"/>
        <w:jc w:val="both"/>
        <w:rPr>
          <w:rFonts w:ascii="Times New Roman" w:hAnsi="Times New Roman"/>
          <w:sz w:val="28"/>
        </w:rPr>
      </w:pPr>
      <w:r>
        <w:rPr>
          <w:rFonts w:ascii="Times New Roman" w:hAnsi="Times New Roman"/>
          <w:sz w:val="28"/>
        </w:rPr>
        <w:t>Общая площадь жилья введенного в 2021 году в эксплуатацию на территории муниципального образования «Город Волгодонск» составила 58,6 тыс.кв.м. За 2021 год введено в эксплуатацию 458 индивидуальных жилых домов и домов блокированной застройки общей площадью 52,9 тыс.кв.м. Процент выполнения муниципальной программы по строительству и вводу жилья в эксплуатацию за 2021г. составил 100,6 %.</w:t>
      </w:r>
    </w:p>
    <w:p w14:paraId="0E010000">
      <w:pPr>
        <w:pStyle w:val="Style_10"/>
        <w:spacing w:after="0" w:line="240" w:lineRule="auto"/>
        <w:ind w:firstLine="709" w:left="0"/>
        <w:jc w:val="both"/>
        <w:rPr>
          <w:rFonts w:ascii="Times New Roman" w:hAnsi="Times New Roman"/>
          <w:sz w:val="28"/>
        </w:rPr>
      </w:pPr>
      <w:r>
        <w:rPr>
          <w:rFonts w:ascii="Times New Roman" w:hAnsi="Times New Roman"/>
          <w:sz w:val="28"/>
        </w:rPr>
        <w:t xml:space="preserve">В рамках предоставления муниципальной услуги «Выдача разрешения на строительство (в том числе внесение изменений в разрешение на строительство)» выдано 123 разрешения на строительство. </w:t>
      </w:r>
    </w:p>
    <w:p w14:paraId="0F010000">
      <w:pPr>
        <w:pStyle w:val="Style_10"/>
        <w:spacing w:after="0" w:line="240" w:lineRule="auto"/>
        <w:ind w:firstLine="709" w:left="0"/>
        <w:jc w:val="both"/>
        <w:rPr>
          <w:rFonts w:ascii="Times New Roman" w:hAnsi="Times New Roman"/>
          <w:sz w:val="28"/>
        </w:rPr>
      </w:pPr>
      <w:r>
        <w:rPr>
          <w:rFonts w:ascii="Times New Roman" w:hAnsi="Times New Roman"/>
          <w:sz w:val="28"/>
        </w:rPr>
        <w:t>Выполнен ввод в эксплуатацию:</w:t>
      </w:r>
    </w:p>
    <w:p w14:paraId="10010000">
      <w:pPr>
        <w:pStyle w:val="Style_10"/>
        <w:spacing w:after="0" w:line="240" w:lineRule="auto"/>
        <w:ind w:firstLine="709" w:left="0"/>
        <w:jc w:val="both"/>
        <w:rPr>
          <w:rFonts w:ascii="Times New Roman" w:hAnsi="Times New Roman"/>
          <w:sz w:val="28"/>
        </w:rPr>
      </w:pPr>
      <w:r>
        <w:rPr>
          <w:rFonts w:ascii="Times New Roman" w:hAnsi="Times New Roman"/>
          <w:sz w:val="28"/>
        </w:rPr>
        <w:t>- многоквартирных жилых домов по проспекту Курчатова, 22 и улице Гагарина, 21а (общая площадь составила 6,0 тыс.кв.м.);</w:t>
      </w:r>
    </w:p>
    <w:p w14:paraId="11010000">
      <w:pPr>
        <w:pStyle w:val="Style_10"/>
        <w:spacing w:after="0" w:line="240" w:lineRule="auto"/>
        <w:ind w:firstLine="709" w:left="0"/>
        <w:jc w:val="both"/>
        <w:rPr>
          <w:rFonts w:ascii="Times New Roman" w:hAnsi="Times New Roman"/>
          <w:sz w:val="28"/>
        </w:rPr>
      </w:pPr>
      <w:r>
        <w:rPr>
          <w:rFonts w:ascii="Times New Roman" w:hAnsi="Times New Roman"/>
          <w:sz w:val="28"/>
        </w:rPr>
        <w:t>- производственных корпусов: ООО «Атоммашэкспорт», ООО «ВАНТА», АО «Атомэнергоремонт».</w:t>
      </w:r>
    </w:p>
    <w:p w14:paraId="12010000">
      <w:pPr>
        <w:pStyle w:val="Style_10"/>
        <w:spacing w:after="0" w:line="240" w:lineRule="auto"/>
        <w:ind w:firstLine="709" w:left="0"/>
        <w:jc w:val="both"/>
        <w:rPr>
          <w:rFonts w:ascii="Times New Roman" w:hAnsi="Times New Roman"/>
          <w:sz w:val="28"/>
        </w:rPr>
      </w:pPr>
      <w:r>
        <w:rPr>
          <w:rFonts w:ascii="Times New Roman" w:hAnsi="Times New Roman"/>
          <w:sz w:val="28"/>
        </w:rPr>
        <w:t>1. По объекту «Строительству мостового перехода через балку Сухо-Соленовская в створе проспекта Лазоревый в г. Волгодонске Ростовской области»: заключен муниципальный контракт с АО «Ростовавтомост». Цена контракта составляет: 7,2 млрд рублей. Сроки выполнения работ: до 20.10.2024г. Освоено – 3,5 млрд рублей.</w:t>
      </w:r>
    </w:p>
    <w:p w14:paraId="13010000">
      <w:pPr>
        <w:pStyle w:val="Style_10"/>
        <w:spacing w:after="0" w:line="240" w:lineRule="auto"/>
        <w:ind w:firstLine="709" w:left="0"/>
        <w:jc w:val="both"/>
        <w:rPr>
          <w:rFonts w:ascii="Times New Roman" w:hAnsi="Times New Roman"/>
          <w:sz w:val="28"/>
        </w:rPr>
      </w:pPr>
      <w:r>
        <w:rPr>
          <w:rFonts w:ascii="Times New Roman" w:hAnsi="Times New Roman"/>
          <w:sz w:val="28"/>
        </w:rPr>
        <w:t>2. По объекту «Строительство общеобразовательной школы на 600 мест в микрорайоне «В-9» г. Волгодонска» заключен муниципальный контракт с ООО «Югстроймонтаж». Цена контракта - 839,6 млн рублей. Ориентировочный срок выполнения работ март 2022. Освоено 395,2 млн рублей. (в связи с существенным увеличением в 2021 году цен на строительные ресурсы, планируется внесение изменений в муниципальный контракт).</w:t>
      </w:r>
    </w:p>
    <w:p w14:paraId="14010000">
      <w:pPr>
        <w:pStyle w:val="Style_10"/>
        <w:spacing w:after="0" w:line="240" w:lineRule="auto"/>
        <w:ind w:firstLine="709" w:left="0"/>
        <w:jc w:val="both"/>
        <w:rPr>
          <w:rFonts w:ascii="Times New Roman" w:hAnsi="Times New Roman"/>
          <w:sz w:val="28"/>
        </w:rPr>
      </w:pPr>
      <w:r>
        <w:rPr>
          <w:rFonts w:ascii="Times New Roman" w:hAnsi="Times New Roman"/>
          <w:sz w:val="28"/>
        </w:rPr>
        <w:t>3. По объекту «Центру единоборств»: с ООО «КАПИТАЛ» заключен муниципальный контракт. Цена контракта 215,7 млн рублей. Процент готовности объекта - 46,3 %. Ориентировочный срок выполнения работ сентябрь 2022. Освоено 99,8 млн рублей. (в связи с существенным увеличением в 2021 году цен на строительные ресурсы, планируется внесение изменений в муниципальный контракт).</w:t>
      </w:r>
    </w:p>
    <w:p w14:paraId="15010000">
      <w:pPr>
        <w:pStyle w:val="Style_10"/>
        <w:spacing w:after="0" w:line="240" w:lineRule="auto"/>
        <w:ind w:firstLine="709" w:left="0"/>
        <w:jc w:val="both"/>
        <w:rPr>
          <w:rFonts w:ascii="Times New Roman" w:hAnsi="Times New Roman"/>
          <w:sz w:val="28"/>
        </w:rPr>
      </w:pPr>
      <w:r>
        <w:rPr>
          <w:rFonts w:ascii="Times New Roman" w:hAnsi="Times New Roman"/>
          <w:sz w:val="28"/>
        </w:rPr>
        <w:t>4. По объекту «Реконструкция блоков №1, №2 и одноэтажного блока общеобразовательной школы для размещения муниципального образовательного учреждения дополнительного образования детей Детской театральной школы. I этап строительства» общая сумма освоения средств составила 28,9 млн рублей. В настоящее время работы на объекте выполнены на 100 %. Подача тепла начата 28.12.2021 г. Разрешение на ввод объекта в эксплуатацию – до 31.03.2022 г.</w:t>
      </w:r>
    </w:p>
    <w:p w14:paraId="16010000">
      <w:pPr>
        <w:pStyle w:val="Style_10"/>
        <w:spacing w:after="0" w:line="240" w:lineRule="auto"/>
        <w:ind w:firstLine="709" w:left="0"/>
        <w:jc w:val="both"/>
        <w:rPr>
          <w:rFonts w:ascii="Times New Roman" w:hAnsi="Times New Roman"/>
          <w:sz w:val="28"/>
        </w:rPr>
      </w:pPr>
      <w:r>
        <w:rPr>
          <w:rFonts w:ascii="Times New Roman" w:hAnsi="Times New Roman"/>
          <w:sz w:val="28"/>
        </w:rPr>
        <w:t xml:space="preserve">В 2021 году в </w:t>
      </w:r>
      <w:r>
        <w:rPr>
          <w:rFonts w:ascii="Times New Roman" w:hAnsi="Times New Roman"/>
          <w:sz w:val="28"/>
        </w:rPr>
        <w:t xml:space="preserve">сфере ЖКХ в </w:t>
      </w:r>
      <w:r>
        <w:rPr>
          <w:rFonts w:ascii="Times New Roman" w:hAnsi="Times New Roman"/>
          <w:sz w:val="28"/>
        </w:rPr>
        <w:t>городе Волгодонске выполнены следующие работы:</w:t>
      </w:r>
    </w:p>
    <w:p w14:paraId="17010000">
      <w:pPr>
        <w:pStyle w:val="Style_10"/>
        <w:spacing w:after="0" w:line="240" w:lineRule="auto"/>
        <w:ind w:firstLine="709" w:left="0"/>
        <w:jc w:val="both"/>
        <w:rPr>
          <w:rFonts w:ascii="Times New Roman" w:hAnsi="Times New Roman"/>
          <w:sz w:val="28"/>
        </w:rPr>
      </w:pPr>
      <w:r>
        <w:rPr>
          <w:rFonts w:ascii="Times New Roman" w:hAnsi="Times New Roman"/>
          <w:sz w:val="28"/>
        </w:rPr>
        <w:t>- капитальный ремонт 43 многоквартирных домов (дал</w:t>
      </w:r>
      <w:r>
        <w:rPr>
          <w:rFonts w:ascii="Times New Roman" w:hAnsi="Times New Roman"/>
          <w:sz w:val="28"/>
        </w:rPr>
        <w:t xml:space="preserve">ее - МКД) и 31 лифта в 8 МКД, </w:t>
      </w:r>
      <w:r>
        <w:rPr>
          <w:rFonts w:ascii="Times New Roman" w:hAnsi="Times New Roman"/>
          <w:sz w:val="28"/>
        </w:rPr>
        <w:t>произведена замена 152 лифтов в 56 МКД;</w:t>
      </w:r>
    </w:p>
    <w:p w14:paraId="18010000">
      <w:pPr>
        <w:pStyle w:val="Style_10"/>
        <w:spacing w:after="0" w:line="240" w:lineRule="auto"/>
        <w:ind w:firstLine="709" w:left="0"/>
        <w:jc w:val="both"/>
        <w:rPr>
          <w:rFonts w:ascii="Times New Roman" w:hAnsi="Times New Roman"/>
          <w:sz w:val="28"/>
        </w:rPr>
      </w:pPr>
      <w:r>
        <w:rPr>
          <w:rFonts w:ascii="Times New Roman" w:hAnsi="Times New Roman"/>
          <w:sz w:val="28"/>
        </w:rPr>
        <w:t>- устройство 19  насосных станций в МКД за счет средств местного бюджета (5 млн рублей) при софинансировании работ собственниками помещений МКД;</w:t>
      </w:r>
    </w:p>
    <w:p w14:paraId="19010000">
      <w:pPr>
        <w:pStyle w:val="Style_10"/>
        <w:spacing w:after="0" w:line="240" w:lineRule="auto"/>
        <w:ind w:firstLine="709" w:left="0"/>
        <w:jc w:val="both"/>
        <w:rPr>
          <w:rFonts w:ascii="Times New Roman" w:hAnsi="Times New Roman"/>
          <w:sz w:val="28"/>
        </w:rPr>
      </w:pPr>
      <w:r>
        <w:rPr>
          <w:rFonts w:ascii="Times New Roman" w:hAnsi="Times New Roman"/>
          <w:sz w:val="28"/>
        </w:rPr>
        <w:t>- капитальный ремонт дороги по пер. Первомайскому;</w:t>
      </w:r>
    </w:p>
    <w:p w14:paraId="1A010000">
      <w:pPr>
        <w:pStyle w:val="Style_10"/>
        <w:spacing w:after="0" w:line="240" w:lineRule="auto"/>
        <w:ind w:firstLine="709" w:left="0"/>
        <w:jc w:val="both"/>
        <w:rPr>
          <w:rFonts w:ascii="Times New Roman" w:hAnsi="Times New Roman"/>
          <w:sz w:val="28"/>
        </w:rPr>
      </w:pPr>
      <w:r>
        <w:rPr>
          <w:rFonts w:ascii="Times New Roman" w:hAnsi="Times New Roman"/>
          <w:sz w:val="28"/>
        </w:rPr>
        <w:t>- устранение ямочности 16</w:t>
      </w:r>
      <w:r>
        <w:rPr>
          <w:rFonts w:ascii="Times New Roman" w:hAnsi="Times New Roman"/>
          <w:sz w:val="28"/>
        </w:rPr>
        <w:t>,3 тыс. м</w:t>
      </w:r>
      <w:r>
        <w:rPr>
          <w:rFonts w:ascii="Times New Roman" w:hAnsi="Times New Roman"/>
          <w:sz w:val="28"/>
        </w:rPr>
        <w:t>2</w:t>
      </w:r>
      <w:r>
        <w:rPr>
          <w:rFonts w:ascii="Times New Roman" w:hAnsi="Times New Roman"/>
          <w:sz w:val="28"/>
        </w:rPr>
        <w:t xml:space="preserve">  ;</w:t>
      </w:r>
      <w:r>
        <w:rPr>
          <w:rFonts w:ascii="Times New Roman" w:hAnsi="Times New Roman"/>
          <w:sz w:val="28"/>
        </w:rPr>
        <w:t xml:space="preserve"> </w:t>
      </w:r>
    </w:p>
    <w:p w14:paraId="1B010000">
      <w:pPr>
        <w:pStyle w:val="Style_10"/>
        <w:spacing w:after="0" w:line="240" w:lineRule="auto"/>
        <w:ind w:firstLine="709" w:left="0"/>
        <w:jc w:val="both"/>
        <w:rPr>
          <w:rFonts w:ascii="Times New Roman" w:hAnsi="Times New Roman"/>
          <w:sz w:val="28"/>
        </w:rPr>
      </w:pPr>
      <w:r>
        <w:rPr>
          <w:rFonts w:ascii="Times New Roman" w:hAnsi="Times New Roman"/>
          <w:sz w:val="28"/>
        </w:rPr>
        <w:t>- нанесение горизонтальной дорожной разметки на 45-и автодорогах города;</w:t>
      </w:r>
    </w:p>
    <w:p w14:paraId="1C010000">
      <w:pPr>
        <w:pStyle w:val="Style_10"/>
        <w:spacing w:after="0" w:line="240" w:lineRule="auto"/>
        <w:ind w:firstLine="709" w:left="0"/>
        <w:jc w:val="both"/>
        <w:rPr>
          <w:rFonts w:ascii="Times New Roman" w:hAnsi="Times New Roman"/>
          <w:sz w:val="28"/>
        </w:rPr>
      </w:pPr>
      <w:r>
        <w:rPr>
          <w:rFonts w:ascii="Times New Roman" w:hAnsi="Times New Roman"/>
          <w:sz w:val="28"/>
        </w:rPr>
        <w:t>-  замена поврежденных дорожных;</w:t>
      </w:r>
    </w:p>
    <w:p w14:paraId="1D010000">
      <w:pPr>
        <w:pStyle w:val="Style_10"/>
        <w:spacing w:after="0" w:line="240" w:lineRule="auto"/>
        <w:ind w:firstLine="709" w:left="0"/>
        <w:jc w:val="both"/>
        <w:rPr>
          <w:rFonts w:ascii="Times New Roman" w:hAnsi="Times New Roman"/>
          <w:sz w:val="28"/>
        </w:rPr>
      </w:pPr>
      <w:r>
        <w:rPr>
          <w:rFonts w:ascii="Times New Roman" w:hAnsi="Times New Roman"/>
          <w:sz w:val="28"/>
        </w:rPr>
        <w:t>-  установка недостающих дорожных знаков - 450 шт.;</w:t>
      </w:r>
    </w:p>
    <w:p w14:paraId="1E010000">
      <w:pPr>
        <w:pStyle w:val="Style_10"/>
        <w:spacing w:after="0" w:line="240" w:lineRule="auto"/>
        <w:ind w:firstLine="709" w:left="0"/>
        <w:jc w:val="both"/>
        <w:rPr>
          <w:rFonts w:ascii="Times New Roman" w:hAnsi="Times New Roman"/>
          <w:sz w:val="28"/>
        </w:rPr>
      </w:pPr>
      <w:r>
        <w:rPr>
          <w:rFonts w:ascii="Times New Roman" w:hAnsi="Times New Roman"/>
          <w:sz w:val="28"/>
        </w:rPr>
        <w:t>- установка недостающих и восстановление существующих инженерно-технических средств обеспечения транспортной безопасности - 100 м;</w:t>
      </w:r>
    </w:p>
    <w:p w14:paraId="1F010000">
      <w:pPr>
        <w:pStyle w:val="Style_10"/>
        <w:spacing w:after="0" w:line="240" w:lineRule="auto"/>
        <w:ind w:firstLine="709" w:left="0"/>
        <w:jc w:val="both"/>
        <w:rPr>
          <w:rFonts w:ascii="Times New Roman" w:hAnsi="Times New Roman"/>
          <w:sz w:val="28"/>
        </w:rPr>
      </w:pPr>
      <w:r>
        <w:rPr>
          <w:rFonts w:ascii="Times New Roman" w:hAnsi="Times New Roman"/>
          <w:sz w:val="28"/>
        </w:rPr>
        <w:t>- поддержание в чистоте и порядке светофорных объектов – 122 ед.;</w:t>
      </w:r>
    </w:p>
    <w:p w14:paraId="20010000">
      <w:pPr>
        <w:pStyle w:val="Style_10"/>
        <w:spacing w:after="0" w:line="240" w:lineRule="auto"/>
        <w:ind w:firstLine="709" w:left="0"/>
        <w:jc w:val="both"/>
        <w:rPr>
          <w:rFonts w:ascii="Times New Roman" w:hAnsi="Times New Roman"/>
          <w:sz w:val="28"/>
        </w:rPr>
      </w:pPr>
      <w:r>
        <w:rPr>
          <w:rFonts w:ascii="Times New Roman" w:hAnsi="Times New Roman"/>
          <w:sz w:val="28"/>
        </w:rPr>
        <w:tab/>
      </w:r>
      <w:r>
        <w:rPr>
          <w:rFonts w:ascii="Times New Roman" w:hAnsi="Times New Roman"/>
          <w:sz w:val="28"/>
        </w:rPr>
        <w:t>- обустройство 1 нового пешеходного перехода по просп.Курчатова в районе дома № 12;</w:t>
      </w:r>
    </w:p>
    <w:p w14:paraId="21010000">
      <w:pPr>
        <w:pStyle w:val="Style_10"/>
        <w:spacing w:after="0" w:line="240" w:lineRule="auto"/>
        <w:ind w:firstLine="709" w:left="0"/>
        <w:jc w:val="both"/>
        <w:rPr>
          <w:rFonts w:ascii="Times New Roman" w:hAnsi="Times New Roman"/>
          <w:sz w:val="28"/>
        </w:rPr>
      </w:pPr>
      <w:r>
        <w:rPr>
          <w:rFonts w:ascii="Times New Roman" w:hAnsi="Times New Roman"/>
          <w:sz w:val="28"/>
        </w:rPr>
        <w:t>- содержание автомобильных дорог в части наружного освещения на сумму 7,8 млн рублей</w:t>
      </w:r>
      <w:r>
        <w:rPr>
          <w:rFonts w:ascii="Times New Roman" w:hAnsi="Times New Roman"/>
          <w:sz w:val="28"/>
        </w:rPr>
        <w:t>;</w:t>
      </w:r>
    </w:p>
    <w:p w14:paraId="22010000">
      <w:pPr>
        <w:pStyle w:val="Style_10"/>
        <w:spacing w:after="0" w:line="240" w:lineRule="auto"/>
        <w:ind w:firstLine="709" w:left="0"/>
        <w:jc w:val="both"/>
        <w:rPr>
          <w:rFonts w:ascii="Times New Roman" w:hAnsi="Times New Roman"/>
          <w:sz w:val="28"/>
        </w:rPr>
      </w:pPr>
      <w:r>
        <w:rPr>
          <w:rFonts w:ascii="Times New Roman" w:hAnsi="Times New Roman"/>
          <w:sz w:val="28"/>
        </w:rPr>
        <w:t>- дополнительно установлено 265 осветительных приборов на магистральных автодорогах (просп. Мира, ул. Энтузиастов, просп. Строителей, просп. Курчатова, путепровод, ул. Морская, ул. Бетонная 2-я, пер. Первомайский, ул. Бетонная 1-я);</w:t>
      </w:r>
    </w:p>
    <w:p w14:paraId="23010000">
      <w:pPr>
        <w:pStyle w:val="Style_10"/>
        <w:spacing w:after="0" w:line="240" w:lineRule="auto"/>
        <w:ind w:firstLine="709" w:left="0"/>
        <w:jc w:val="both"/>
        <w:rPr>
          <w:rFonts w:ascii="Times New Roman" w:hAnsi="Times New Roman"/>
          <w:sz w:val="28"/>
        </w:rPr>
      </w:pPr>
      <w:r>
        <w:rPr>
          <w:rFonts w:ascii="Times New Roman" w:hAnsi="Times New Roman"/>
          <w:sz w:val="28"/>
        </w:rPr>
        <w:t>- установка во дворах МКД МАФов, игрового  и спортивного оборудования в количестве 91 ед.;</w:t>
      </w:r>
    </w:p>
    <w:p w14:paraId="24010000">
      <w:pPr>
        <w:pStyle w:val="Style_10"/>
        <w:spacing w:after="0" w:line="240" w:lineRule="auto"/>
        <w:ind w:firstLine="709" w:left="0"/>
        <w:jc w:val="both"/>
        <w:rPr>
          <w:rFonts w:ascii="Times New Roman" w:hAnsi="Times New Roman"/>
          <w:sz w:val="28"/>
        </w:rPr>
      </w:pPr>
      <w:r>
        <w:rPr>
          <w:rFonts w:ascii="Times New Roman" w:hAnsi="Times New Roman"/>
          <w:sz w:val="28"/>
        </w:rPr>
        <w:t>- ремонт внутриквартальных проездов и тротуаров площадью 7,1тыс. м2;</w:t>
      </w:r>
    </w:p>
    <w:p w14:paraId="25010000">
      <w:pPr>
        <w:pStyle w:val="Style_10"/>
        <w:spacing w:after="0" w:line="240" w:lineRule="auto"/>
        <w:ind w:firstLine="709" w:left="0"/>
        <w:jc w:val="both"/>
        <w:rPr>
          <w:rFonts w:ascii="Times New Roman" w:hAnsi="Times New Roman"/>
          <w:sz w:val="28"/>
        </w:rPr>
      </w:pPr>
      <w:r>
        <w:rPr>
          <w:rFonts w:ascii="Times New Roman" w:hAnsi="Times New Roman"/>
          <w:sz w:val="28"/>
        </w:rPr>
        <w:t>- установка 23 новых автопавильонов;</w:t>
      </w:r>
    </w:p>
    <w:p w14:paraId="26010000">
      <w:pPr>
        <w:pStyle w:val="Style_10"/>
        <w:spacing w:after="0" w:line="240" w:lineRule="auto"/>
        <w:ind w:firstLine="709" w:left="0"/>
        <w:jc w:val="both"/>
        <w:rPr>
          <w:rFonts w:ascii="Times New Roman" w:hAnsi="Times New Roman"/>
          <w:sz w:val="28"/>
        </w:rPr>
      </w:pPr>
      <w:r>
        <w:rPr>
          <w:rFonts w:ascii="Times New Roman" w:hAnsi="Times New Roman"/>
          <w:sz w:val="28"/>
        </w:rPr>
        <w:t>- содержание и  ремонт зеленых насаждений на территории парков, скверов, бульваров на 118 объектах площадью 2</w:t>
      </w:r>
      <w:r>
        <w:rPr>
          <w:rFonts w:ascii="Times New Roman" w:hAnsi="Times New Roman"/>
          <w:sz w:val="28"/>
        </w:rPr>
        <w:t>,</w:t>
      </w:r>
      <w:r>
        <w:rPr>
          <w:rFonts w:ascii="Times New Roman" w:hAnsi="Times New Roman"/>
          <w:sz w:val="28"/>
        </w:rPr>
        <w:t>0</w:t>
      </w:r>
      <w:r>
        <w:rPr>
          <w:rFonts w:ascii="Times New Roman" w:hAnsi="Times New Roman"/>
          <w:sz w:val="28"/>
        </w:rPr>
        <w:t xml:space="preserve"> млн </w:t>
      </w:r>
      <w:r>
        <w:rPr>
          <w:rFonts w:ascii="Times New Roman" w:hAnsi="Times New Roman"/>
          <w:sz w:val="28"/>
        </w:rPr>
        <w:t>м</w:t>
      </w:r>
      <w:r>
        <w:rPr>
          <w:rFonts w:ascii="Times New Roman" w:hAnsi="Times New Roman"/>
          <w:sz w:val="28"/>
        </w:rPr>
        <w:t>2</w:t>
      </w:r>
      <w:r>
        <w:rPr>
          <w:rFonts w:ascii="Times New Roman" w:hAnsi="Times New Roman"/>
          <w:sz w:val="28"/>
        </w:rPr>
        <w:t xml:space="preserve">; </w:t>
      </w:r>
    </w:p>
    <w:p w14:paraId="27010000">
      <w:pPr>
        <w:pStyle w:val="Style_10"/>
        <w:spacing w:after="0" w:line="240" w:lineRule="auto"/>
        <w:ind w:firstLine="709" w:left="0"/>
        <w:jc w:val="both"/>
        <w:rPr>
          <w:rFonts w:ascii="Times New Roman" w:hAnsi="Times New Roman"/>
          <w:sz w:val="28"/>
        </w:rPr>
      </w:pPr>
      <w:r>
        <w:rPr>
          <w:rFonts w:ascii="Times New Roman" w:hAnsi="Times New Roman"/>
          <w:sz w:val="28"/>
        </w:rPr>
        <w:t>- двукратная противоклещевая обработка 172,25 га и трехкратная ларвицидная обработка 20,093 га территорий города; двукратная противоклещевая обработка и  однократная дератизация территорий мест захоронени</w:t>
      </w:r>
      <w:r>
        <w:rPr>
          <w:rFonts w:ascii="Times New Roman" w:hAnsi="Times New Roman"/>
          <w:sz w:val="28"/>
        </w:rPr>
        <w:t>й</w:t>
      </w:r>
      <w:r>
        <w:rPr>
          <w:rFonts w:ascii="Times New Roman" w:hAnsi="Times New Roman"/>
          <w:sz w:val="28"/>
        </w:rPr>
        <w:t xml:space="preserve">  на  площади  86,04 га;</w:t>
      </w:r>
    </w:p>
    <w:p w14:paraId="28010000">
      <w:pPr>
        <w:pStyle w:val="Style_10"/>
        <w:spacing w:after="0" w:line="240" w:lineRule="auto"/>
        <w:ind w:firstLine="709" w:left="0"/>
        <w:jc w:val="both"/>
        <w:rPr>
          <w:rFonts w:ascii="Times New Roman" w:hAnsi="Times New Roman"/>
          <w:sz w:val="28"/>
        </w:rPr>
      </w:pPr>
      <w:r>
        <w:rPr>
          <w:rFonts w:ascii="Times New Roman" w:hAnsi="Times New Roman"/>
          <w:sz w:val="28"/>
        </w:rPr>
        <w:t>- посадка цвет</w:t>
      </w:r>
      <w:r>
        <w:rPr>
          <w:rFonts w:ascii="Times New Roman" w:hAnsi="Times New Roman"/>
          <w:sz w:val="28"/>
        </w:rPr>
        <w:t>ников</w:t>
      </w:r>
      <w:r>
        <w:rPr>
          <w:rFonts w:ascii="Times New Roman" w:hAnsi="Times New Roman"/>
          <w:sz w:val="28"/>
        </w:rPr>
        <w:t xml:space="preserve"> на площади 3</w:t>
      </w:r>
      <w:r>
        <w:rPr>
          <w:rFonts w:ascii="Times New Roman" w:hAnsi="Times New Roman"/>
          <w:sz w:val="28"/>
        </w:rPr>
        <w:t xml:space="preserve">,5 тыс. </w:t>
      </w:r>
      <w:r>
        <w:rPr>
          <w:rFonts w:ascii="Times New Roman" w:hAnsi="Times New Roman"/>
          <w:sz w:val="28"/>
        </w:rPr>
        <w:t>м</w:t>
      </w:r>
      <w:r>
        <w:rPr>
          <w:rFonts w:ascii="Times New Roman" w:hAnsi="Times New Roman"/>
          <w:sz w:val="28"/>
        </w:rPr>
        <w:t>2</w:t>
      </w:r>
      <w:r>
        <w:rPr>
          <w:rFonts w:ascii="Times New Roman" w:hAnsi="Times New Roman"/>
          <w:sz w:val="28"/>
        </w:rPr>
        <w:t xml:space="preserve">;   </w:t>
      </w:r>
    </w:p>
    <w:p w14:paraId="29010000">
      <w:pPr>
        <w:pStyle w:val="Style_10"/>
        <w:spacing w:after="0" w:line="240" w:lineRule="auto"/>
        <w:ind w:firstLine="709" w:left="0"/>
        <w:jc w:val="both"/>
        <w:rPr>
          <w:rFonts w:ascii="Times New Roman" w:hAnsi="Times New Roman"/>
          <w:sz w:val="28"/>
        </w:rPr>
      </w:pPr>
      <w:r>
        <w:rPr>
          <w:rFonts w:ascii="Times New Roman" w:hAnsi="Times New Roman"/>
          <w:sz w:val="28"/>
        </w:rPr>
        <w:t>- ликвидация 25 несанкционированных свалочных очагов в общем объеме 3,3 тыс. м3.</w:t>
      </w:r>
    </w:p>
    <w:p w14:paraId="2A010000">
      <w:pPr>
        <w:pStyle w:val="Style_10"/>
        <w:spacing w:after="0" w:line="240" w:lineRule="auto"/>
        <w:ind w:firstLine="709" w:left="0"/>
        <w:jc w:val="both"/>
        <w:rPr>
          <w:rFonts w:ascii="Times New Roman" w:hAnsi="Times New Roman"/>
          <w:sz w:val="28"/>
        </w:rPr>
      </w:pPr>
    </w:p>
    <w:p w14:paraId="2B010000">
      <w:pPr>
        <w:pStyle w:val="Style_10"/>
        <w:spacing w:after="0" w:line="240" w:lineRule="auto"/>
        <w:ind w:firstLine="709" w:left="0"/>
        <w:jc w:val="both"/>
        <w:rPr>
          <w:rFonts w:ascii="Times New Roman" w:hAnsi="Times New Roman"/>
          <w:sz w:val="28"/>
        </w:rPr>
      </w:pPr>
      <w:r>
        <w:rPr>
          <w:rFonts w:ascii="Times New Roman" w:hAnsi="Times New Roman"/>
          <w:sz w:val="28"/>
        </w:rPr>
        <w:t>В 2021 году выполнены следующие мероприятия по повышению эффективности, устойчивости и надежности функционирования системы электроснабжения:</w:t>
      </w:r>
    </w:p>
    <w:p w14:paraId="2C010000">
      <w:pPr>
        <w:pStyle w:val="Style_10"/>
        <w:spacing w:after="0" w:line="240" w:lineRule="auto"/>
        <w:ind w:firstLine="709" w:left="0"/>
        <w:jc w:val="both"/>
        <w:rPr>
          <w:rFonts w:ascii="Times New Roman" w:hAnsi="Times New Roman"/>
          <w:sz w:val="28"/>
        </w:rPr>
      </w:pPr>
      <w:r>
        <w:rPr>
          <w:rFonts w:ascii="Times New Roman" w:hAnsi="Times New Roman"/>
          <w:sz w:val="28"/>
        </w:rPr>
        <w:t>По титулу капитального ремонта выполнено работ на сумму – 3,02 млн. рублей, в том числе:</w:t>
      </w:r>
    </w:p>
    <w:p w14:paraId="2D010000">
      <w:pPr>
        <w:pStyle w:val="Style_10"/>
        <w:spacing w:after="0" w:line="240" w:lineRule="auto"/>
        <w:ind w:firstLine="709" w:left="0"/>
        <w:jc w:val="both"/>
        <w:rPr>
          <w:rFonts w:ascii="Times New Roman" w:hAnsi="Times New Roman"/>
          <w:sz w:val="28"/>
        </w:rPr>
      </w:pPr>
      <w:r>
        <w:rPr>
          <w:rFonts w:ascii="Times New Roman" w:hAnsi="Times New Roman"/>
          <w:sz w:val="28"/>
        </w:rPr>
        <w:t>- Капитальный ремонт с заменой кабельных линий в зданиях трансформаторных подстанций 10/0,4 кВ общей протяженностью 120 м.;</w:t>
      </w:r>
    </w:p>
    <w:p w14:paraId="2E010000">
      <w:pPr>
        <w:pStyle w:val="Style_10"/>
        <w:spacing w:after="0" w:line="240" w:lineRule="auto"/>
        <w:ind w:firstLine="709" w:left="0"/>
        <w:jc w:val="both"/>
        <w:rPr>
          <w:rFonts w:ascii="Times New Roman" w:hAnsi="Times New Roman"/>
          <w:sz w:val="28"/>
        </w:rPr>
      </w:pPr>
      <w:r>
        <w:rPr>
          <w:rFonts w:ascii="Times New Roman" w:hAnsi="Times New Roman"/>
          <w:sz w:val="28"/>
        </w:rPr>
        <w:t>- Капитальный ремонт   4-х силовых трансформаторов 10/0,4 кВ;</w:t>
      </w:r>
    </w:p>
    <w:p w14:paraId="2F010000">
      <w:pPr>
        <w:pStyle w:val="Style_10"/>
        <w:spacing w:after="0" w:line="240" w:lineRule="auto"/>
        <w:ind w:firstLine="709" w:left="0"/>
        <w:jc w:val="both"/>
        <w:rPr>
          <w:rFonts w:ascii="Times New Roman" w:hAnsi="Times New Roman"/>
          <w:sz w:val="28"/>
        </w:rPr>
      </w:pPr>
      <w:r>
        <w:rPr>
          <w:rFonts w:ascii="Times New Roman" w:hAnsi="Times New Roman"/>
          <w:sz w:val="28"/>
        </w:rPr>
        <w:t>- Ремонт отмосток 4-х зданий трансформаторных подстанций;</w:t>
      </w:r>
    </w:p>
    <w:p w14:paraId="30010000">
      <w:pPr>
        <w:pStyle w:val="Style_10"/>
        <w:spacing w:after="0" w:line="240" w:lineRule="auto"/>
        <w:ind w:firstLine="709" w:left="0"/>
        <w:jc w:val="both"/>
        <w:rPr>
          <w:rFonts w:ascii="Times New Roman" w:hAnsi="Times New Roman"/>
          <w:sz w:val="28"/>
        </w:rPr>
      </w:pPr>
      <w:r>
        <w:rPr>
          <w:rFonts w:ascii="Times New Roman" w:hAnsi="Times New Roman"/>
          <w:sz w:val="28"/>
        </w:rPr>
        <w:t>- Выполнена окраска фасадов 6-ти трансформаторных подстанций;</w:t>
      </w:r>
    </w:p>
    <w:p w14:paraId="31010000">
      <w:pPr>
        <w:pStyle w:val="Style_10"/>
        <w:spacing w:after="0" w:line="240" w:lineRule="auto"/>
        <w:ind w:firstLine="709" w:left="0"/>
        <w:jc w:val="both"/>
        <w:rPr>
          <w:rFonts w:ascii="Times New Roman" w:hAnsi="Times New Roman"/>
          <w:sz w:val="28"/>
        </w:rPr>
      </w:pPr>
      <w:r>
        <w:rPr>
          <w:rFonts w:ascii="Times New Roman" w:hAnsi="Times New Roman"/>
          <w:sz w:val="28"/>
        </w:rPr>
        <w:t>- Выполнен текущий ремонт электрооборудования;</w:t>
      </w:r>
    </w:p>
    <w:p w14:paraId="32010000">
      <w:pPr>
        <w:pStyle w:val="Style_10"/>
        <w:spacing w:after="0" w:line="240" w:lineRule="auto"/>
        <w:ind w:firstLine="709" w:left="0"/>
        <w:jc w:val="both"/>
        <w:rPr>
          <w:rFonts w:ascii="Times New Roman" w:hAnsi="Times New Roman"/>
          <w:sz w:val="28"/>
        </w:rPr>
      </w:pPr>
      <w:r>
        <w:rPr>
          <w:rFonts w:ascii="Times New Roman" w:hAnsi="Times New Roman"/>
          <w:sz w:val="28"/>
        </w:rPr>
        <w:t>- Капитальный ремонт оборудования в мкр. В-15;</w:t>
      </w:r>
    </w:p>
    <w:p w14:paraId="33010000">
      <w:pPr>
        <w:pStyle w:val="Style_10"/>
        <w:spacing w:after="0" w:line="240" w:lineRule="auto"/>
        <w:ind w:firstLine="709" w:left="0"/>
        <w:jc w:val="both"/>
        <w:rPr>
          <w:rFonts w:ascii="Times New Roman" w:hAnsi="Times New Roman"/>
          <w:sz w:val="28"/>
        </w:rPr>
      </w:pPr>
      <w:r>
        <w:rPr>
          <w:rFonts w:ascii="Times New Roman" w:hAnsi="Times New Roman"/>
          <w:sz w:val="28"/>
        </w:rPr>
        <w:t>- Замена участка линий в мкр. В-20, протяженностью 570 м.;</w:t>
      </w:r>
    </w:p>
    <w:p w14:paraId="34010000">
      <w:pPr>
        <w:pStyle w:val="Style_10"/>
        <w:spacing w:after="0" w:line="240" w:lineRule="auto"/>
        <w:ind w:firstLine="709" w:left="0"/>
        <w:jc w:val="both"/>
        <w:rPr>
          <w:rFonts w:ascii="Times New Roman" w:hAnsi="Times New Roman"/>
          <w:sz w:val="28"/>
        </w:rPr>
      </w:pPr>
      <w:r>
        <w:rPr>
          <w:rFonts w:ascii="Times New Roman" w:hAnsi="Times New Roman"/>
          <w:sz w:val="28"/>
        </w:rPr>
        <w:t>- Замена участка линий по Октябрьскому шоссе, ул. Гаражная, протяженностью 180 м.;</w:t>
      </w:r>
    </w:p>
    <w:p w14:paraId="35010000">
      <w:pPr>
        <w:pStyle w:val="Style_10"/>
        <w:spacing w:after="0" w:line="240" w:lineRule="auto"/>
        <w:ind w:firstLine="709" w:left="0"/>
        <w:jc w:val="both"/>
        <w:rPr>
          <w:rFonts w:ascii="Times New Roman" w:hAnsi="Times New Roman"/>
          <w:sz w:val="28"/>
        </w:rPr>
      </w:pPr>
      <w:r>
        <w:rPr>
          <w:rFonts w:ascii="Times New Roman" w:hAnsi="Times New Roman"/>
          <w:sz w:val="28"/>
        </w:rPr>
        <w:t>В рамках  реализации  инвестиционной  программы в 2021 году освоено 8,88 млн. руб. на выполнение следующих работ:</w:t>
      </w:r>
    </w:p>
    <w:p w14:paraId="36010000">
      <w:pPr>
        <w:pStyle w:val="Style_10"/>
        <w:spacing w:after="0" w:line="240" w:lineRule="auto"/>
        <w:ind w:firstLine="709" w:left="0"/>
        <w:jc w:val="both"/>
        <w:rPr>
          <w:rFonts w:ascii="Times New Roman" w:hAnsi="Times New Roman"/>
          <w:sz w:val="28"/>
        </w:rPr>
      </w:pPr>
      <w:r>
        <w:rPr>
          <w:rFonts w:ascii="Times New Roman" w:hAnsi="Times New Roman"/>
          <w:sz w:val="28"/>
        </w:rPr>
        <w:t>- Приобретен трассоискатель;</w:t>
      </w:r>
    </w:p>
    <w:p w14:paraId="37010000">
      <w:pPr>
        <w:pStyle w:val="Style_10"/>
        <w:spacing w:after="0" w:line="240" w:lineRule="auto"/>
        <w:ind w:firstLine="709" w:left="0"/>
        <w:jc w:val="both"/>
        <w:rPr>
          <w:rFonts w:ascii="Times New Roman" w:hAnsi="Times New Roman"/>
          <w:sz w:val="28"/>
        </w:rPr>
      </w:pPr>
      <w:r>
        <w:rPr>
          <w:rFonts w:ascii="Times New Roman" w:hAnsi="Times New Roman"/>
          <w:sz w:val="28"/>
        </w:rPr>
        <w:t>- Приобретена передвижная электротехническая лаборатория;</w:t>
      </w:r>
    </w:p>
    <w:p w14:paraId="38010000">
      <w:pPr>
        <w:pStyle w:val="Style_10"/>
        <w:spacing w:after="0" w:line="240" w:lineRule="auto"/>
        <w:ind w:firstLine="709" w:left="0"/>
        <w:jc w:val="both"/>
        <w:rPr>
          <w:rFonts w:ascii="Times New Roman" w:hAnsi="Times New Roman"/>
          <w:sz w:val="28"/>
        </w:rPr>
      </w:pPr>
      <w:r>
        <w:rPr>
          <w:rFonts w:ascii="Times New Roman" w:hAnsi="Times New Roman"/>
          <w:sz w:val="28"/>
        </w:rPr>
        <w:t>- Выполнено техническое перевооружение ПС-110/10/10 кВ «Городская» с заменой аккумуляторных батарей.</w:t>
      </w:r>
    </w:p>
    <w:p w14:paraId="39010000">
      <w:pPr>
        <w:pStyle w:val="Style_10"/>
        <w:spacing w:after="0" w:line="240" w:lineRule="auto"/>
        <w:ind w:firstLine="709" w:left="0"/>
        <w:jc w:val="both"/>
        <w:rPr>
          <w:rFonts w:ascii="Times New Roman" w:hAnsi="Times New Roman"/>
          <w:sz w:val="28"/>
        </w:rPr>
      </w:pPr>
      <w:r>
        <w:rPr>
          <w:rFonts w:ascii="Times New Roman" w:hAnsi="Times New Roman"/>
          <w:sz w:val="28"/>
        </w:rPr>
        <w:t>Все работы завершены в соответствии с графиком, утвержденным Региональной службой по тарифам Ростовской области.</w:t>
      </w:r>
    </w:p>
    <w:p w14:paraId="3A010000">
      <w:pPr>
        <w:pStyle w:val="Style_10"/>
        <w:spacing w:after="0" w:line="240" w:lineRule="auto"/>
        <w:ind w:firstLine="709" w:left="0"/>
        <w:jc w:val="both"/>
        <w:rPr>
          <w:rFonts w:ascii="Times New Roman" w:hAnsi="Times New Roman"/>
          <w:sz w:val="28"/>
        </w:rPr>
      </w:pPr>
      <w:r>
        <w:rPr>
          <w:rFonts w:ascii="Times New Roman" w:hAnsi="Times New Roman"/>
          <w:sz w:val="28"/>
        </w:rPr>
        <w:t>За 2021 год подача воды осуществлялась 24 часа в сутки. В системах водоснабжения и водоотведения аварий не было. Устранено 1311 порывов на сетях водоснабжения, 7283 засора на сетях канализации.</w:t>
      </w:r>
    </w:p>
    <w:p w14:paraId="3B010000">
      <w:pPr>
        <w:pStyle w:val="Style_10"/>
        <w:spacing w:after="0" w:line="240" w:lineRule="auto"/>
        <w:ind w:firstLine="709" w:left="0"/>
        <w:jc w:val="both"/>
        <w:rPr>
          <w:rFonts w:ascii="Times New Roman" w:hAnsi="Times New Roman"/>
          <w:sz w:val="28"/>
        </w:rPr>
      </w:pPr>
      <w:r>
        <w:rPr>
          <w:rFonts w:ascii="Times New Roman" w:hAnsi="Times New Roman"/>
          <w:sz w:val="28"/>
        </w:rPr>
        <w:t>Всего за 2021 года на ремонт, восстановление и обновление основных фондов МУП «Водоканал» направлено 61,9 млн рублей за счет собственных средств, в т.ч. выполнен капитальный ремонт магистральной канализации протяженностью 1,1 км по ул.Энтузиастов стоимостью 10,0 млн рублей.</w:t>
      </w:r>
    </w:p>
    <w:p w14:paraId="3C010000">
      <w:pPr>
        <w:pStyle w:val="Style_10"/>
        <w:spacing w:after="0" w:line="240" w:lineRule="auto"/>
        <w:ind w:firstLine="709" w:left="0"/>
        <w:jc w:val="both"/>
        <w:rPr>
          <w:rFonts w:ascii="Times New Roman" w:hAnsi="Times New Roman"/>
          <w:sz w:val="28"/>
        </w:rPr>
      </w:pPr>
      <w:r>
        <w:rPr>
          <w:rFonts w:ascii="Times New Roman" w:hAnsi="Times New Roman"/>
          <w:sz w:val="28"/>
        </w:rPr>
        <w:t>За счет средств областного и местного бюджетов ведутся работы по восстановлению аварийного участка объекта: «Подводящий коллектор от ГК38 до ГК26», «Магистральная канализация от К7 до Ксущ., от ГК0 до К7/К7» , заменено 2,6 км канализационной сети  на сумму 146,0 млн рублей.</w:t>
      </w:r>
    </w:p>
    <w:p w14:paraId="3D010000">
      <w:pPr>
        <w:pStyle w:val="Style_10"/>
        <w:spacing w:after="0" w:line="240" w:lineRule="auto"/>
        <w:ind w:firstLine="709" w:left="0"/>
        <w:jc w:val="both"/>
        <w:rPr>
          <w:rFonts w:ascii="Times New Roman" w:hAnsi="Times New Roman"/>
          <w:sz w:val="28"/>
        </w:rPr>
      </w:pPr>
      <w:r>
        <w:rPr>
          <w:rFonts w:ascii="Times New Roman" w:hAnsi="Times New Roman"/>
          <w:sz w:val="28"/>
        </w:rPr>
        <w:t xml:space="preserve">В январе 2021 года 31% пассажиров оплатили проезд безналично, в декабре более 47%. За 2021 год расходы на содержание системы составили 6,2 млн рублей. </w:t>
      </w:r>
    </w:p>
    <w:p w14:paraId="3E010000">
      <w:pPr>
        <w:pStyle w:val="Style_10"/>
        <w:spacing w:after="0" w:line="240" w:lineRule="auto"/>
        <w:ind w:firstLine="709" w:left="0"/>
        <w:jc w:val="both"/>
        <w:rPr>
          <w:rFonts w:ascii="Times New Roman" w:hAnsi="Times New Roman"/>
          <w:sz w:val="28"/>
        </w:rPr>
      </w:pPr>
      <w:r>
        <w:rPr>
          <w:rFonts w:ascii="Times New Roman" w:hAnsi="Times New Roman"/>
          <w:sz w:val="28"/>
        </w:rPr>
        <w:t>В настоящее время любой житель города может получить данные о движении городского пассажирского транспорта в приложении Яндекс карты – транспорт, согласно новой схеме движения.</w:t>
      </w:r>
    </w:p>
    <w:p w14:paraId="3F010000">
      <w:pPr>
        <w:pStyle w:val="Style_10"/>
        <w:spacing w:after="0" w:line="240" w:lineRule="auto"/>
        <w:ind w:firstLine="709" w:left="0"/>
        <w:jc w:val="both"/>
        <w:rPr>
          <w:rFonts w:ascii="Times New Roman" w:hAnsi="Times New Roman"/>
          <w:sz w:val="28"/>
        </w:rPr>
      </w:pPr>
      <w:r>
        <w:rPr>
          <w:rFonts w:ascii="Times New Roman" w:hAnsi="Times New Roman"/>
          <w:sz w:val="28"/>
        </w:rPr>
        <w:t>Согласно результатам конкурса на осуществление пассажирских перевозок автомобильным транспортом по муниципальным маршрутам регулярных перевозок по нерегулируемым тарифам на территории муниципального образования «Город Волгодонск», с 1 октября пассажирский транспорт выполняет перевозки пассажиров по новой маршрутной схеме. В результате увеличен пассажиропоток на троллейбусных маршрутах.</w:t>
      </w:r>
    </w:p>
    <w:p w14:paraId="40010000">
      <w:pPr>
        <w:pStyle w:val="Style_10"/>
        <w:spacing w:after="0" w:line="240" w:lineRule="auto"/>
        <w:ind w:firstLine="709" w:left="0"/>
        <w:jc w:val="both"/>
        <w:rPr>
          <w:rFonts w:ascii="Times New Roman" w:hAnsi="Times New Roman"/>
          <w:sz w:val="28"/>
        </w:rPr>
      </w:pPr>
      <w:r>
        <w:rPr>
          <w:rFonts w:ascii="Times New Roman" w:hAnsi="Times New Roman"/>
          <w:sz w:val="28"/>
        </w:rPr>
        <w:t>В целях обеспечения регулярности движения и дальнейшего развития транспортной отрасли города Волгодонска с ноября 2021 по январь 2022 МУП «ГПТ» осуществл</w:t>
      </w:r>
      <w:r>
        <w:rPr>
          <w:rFonts w:ascii="Times New Roman" w:hAnsi="Times New Roman"/>
          <w:sz w:val="28"/>
        </w:rPr>
        <w:t>ен</w:t>
      </w:r>
      <w:r>
        <w:rPr>
          <w:rFonts w:ascii="Times New Roman" w:hAnsi="Times New Roman"/>
          <w:sz w:val="28"/>
        </w:rPr>
        <w:t xml:space="preserve"> перегон из города Москв</w:t>
      </w:r>
      <w:r>
        <w:rPr>
          <w:rFonts w:ascii="Times New Roman" w:hAnsi="Times New Roman"/>
          <w:sz w:val="28"/>
        </w:rPr>
        <w:t xml:space="preserve">ы </w:t>
      </w:r>
      <w:r>
        <w:rPr>
          <w:rFonts w:ascii="Times New Roman" w:hAnsi="Times New Roman"/>
          <w:sz w:val="28"/>
        </w:rPr>
        <w:t>на безвозмездной основе</w:t>
      </w:r>
      <w:r>
        <w:rPr>
          <w:rFonts w:ascii="Times New Roman" w:hAnsi="Times New Roman"/>
          <w:sz w:val="28"/>
        </w:rPr>
        <w:t xml:space="preserve"> </w:t>
      </w:r>
      <w:r>
        <w:rPr>
          <w:rFonts w:ascii="Times New Roman" w:hAnsi="Times New Roman"/>
          <w:sz w:val="28"/>
        </w:rPr>
        <w:t>20 единиц автобусов большой вместимости марки ЛИАЗ-5292</w:t>
      </w:r>
      <w:r>
        <w:rPr>
          <w:rFonts w:ascii="Times New Roman" w:hAnsi="Times New Roman"/>
          <w:sz w:val="28"/>
        </w:rPr>
        <w:t>.</w:t>
      </w:r>
    </w:p>
    <w:p w14:paraId="41010000">
      <w:pPr>
        <w:ind w:firstLine="567" w:left="0" w:right="282"/>
        <w:contextualSpacing w:val="1"/>
        <w:jc w:val="both"/>
        <w:rPr>
          <w:rFonts w:ascii="Times New Roman" w:hAnsi="Times New Roman"/>
          <w:sz w:val="28"/>
        </w:rPr>
      </w:pPr>
    </w:p>
    <w:p w14:paraId="42010000">
      <w:pPr>
        <w:ind w:firstLine="567" w:left="0" w:right="282"/>
        <w:contextualSpacing w:val="1"/>
        <w:jc w:val="both"/>
        <w:rPr>
          <w:rFonts w:ascii="Times New Roman" w:hAnsi="Times New Roman"/>
          <w:sz w:val="28"/>
        </w:rPr>
      </w:pPr>
    </w:p>
    <w:p w14:paraId="43010000">
      <w:pPr>
        <w:ind w:firstLine="567" w:left="0" w:right="282"/>
        <w:contextualSpacing w:val="1"/>
        <w:jc w:val="both"/>
        <w:rPr>
          <w:rFonts w:ascii="Times New Roman" w:hAnsi="Times New Roman"/>
          <w:sz w:val="28"/>
        </w:rPr>
      </w:pPr>
    </w:p>
    <w:p w14:paraId="44010000">
      <w:pPr>
        <w:ind w:firstLine="567" w:left="0" w:right="282"/>
        <w:contextualSpacing w:val="1"/>
        <w:jc w:val="both"/>
        <w:rPr>
          <w:rFonts w:ascii="Times New Roman" w:hAnsi="Times New Roman"/>
          <w:sz w:val="28"/>
        </w:rPr>
      </w:pPr>
    </w:p>
    <w:p w14:paraId="45010000">
      <w:pPr>
        <w:ind w:firstLine="567" w:left="0" w:right="282"/>
        <w:contextualSpacing w:val="1"/>
        <w:jc w:val="both"/>
        <w:rPr>
          <w:rFonts w:ascii="Times New Roman" w:hAnsi="Times New Roman"/>
          <w:sz w:val="28"/>
        </w:rPr>
      </w:pPr>
    </w:p>
    <w:p w14:paraId="46010000">
      <w:pPr>
        <w:ind w:firstLine="567" w:left="0" w:right="282"/>
        <w:contextualSpacing w:val="1"/>
        <w:jc w:val="both"/>
        <w:rPr>
          <w:rFonts w:ascii="Times New Roman" w:hAnsi="Times New Roman"/>
          <w:sz w:val="28"/>
        </w:rPr>
      </w:pPr>
    </w:p>
    <w:p w14:paraId="47010000">
      <w:pPr>
        <w:ind w:firstLine="567" w:left="0" w:right="282"/>
        <w:contextualSpacing w:val="1"/>
        <w:jc w:val="both"/>
        <w:rPr>
          <w:rFonts w:ascii="Times New Roman" w:hAnsi="Times New Roman"/>
          <w:sz w:val="28"/>
        </w:rPr>
      </w:pPr>
    </w:p>
    <w:p w14:paraId="48010000">
      <w:pPr>
        <w:ind w:firstLine="567" w:left="0" w:right="282"/>
        <w:contextualSpacing w:val="1"/>
        <w:jc w:val="both"/>
        <w:rPr>
          <w:rFonts w:ascii="Times New Roman" w:hAnsi="Times New Roman"/>
          <w:sz w:val="28"/>
        </w:rPr>
      </w:pPr>
    </w:p>
    <w:p w14:paraId="49010000">
      <w:pPr>
        <w:ind w:firstLine="567" w:left="0" w:right="282"/>
        <w:contextualSpacing w:val="1"/>
        <w:jc w:val="both"/>
        <w:rPr>
          <w:rFonts w:ascii="Times New Roman" w:hAnsi="Times New Roman"/>
          <w:sz w:val="28"/>
        </w:rPr>
      </w:pPr>
    </w:p>
    <w:p w14:paraId="4A010000">
      <w:pPr>
        <w:tabs>
          <w:tab w:leader="none" w:pos="3526" w:val="left"/>
        </w:tabs>
        <w:ind w:firstLine="567" w:left="0" w:right="282"/>
        <w:contextualSpacing w:val="1"/>
        <w:jc w:val="both"/>
        <w:rPr>
          <w:rFonts w:ascii="Times New Roman" w:hAnsi="Times New Roman"/>
          <w:sz w:val="28"/>
        </w:rPr>
      </w:pPr>
      <w:r>
        <w:rPr>
          <w:rFonts w:ascii="Times New Roman" w:hAnsi="Times New Roman"/>
          <w:sz w:val="28"/>
        </w:rPr>
        <w:tab/>
      </w:r>
    </w:p>
    <w:p w14:paraId="4B010000">
      <w:pPr>
        <w:tabs>
          <w:tab w:leader="none" w:pos="3526" w:val="left"/>
        </w:tabs>
        <w:ind w:firstLine="567" w:left="0" w:right="282"/>
        <w:contextualSpacing w:val="1"/>
        <w:jc w:val="both"/>
        <w:rPr>
          <w:rFonts w:ascii="Times New Roman" w:hAnsi="Times New Roman"/>
          <w:sz w:val="28"/>
        </w:rPr>
      </w:pPr>
    </w:p>
    <w:p w14:paraId="4C010000">
      <w:pPr>
        <w:tabs>
          <w:tab w:leader="none" w:pos="3526" w:val="left"/>
        </w:tabs>
        <w:ind w:firstLine="567" w:left="0" w:right="282"/>
        <w:contextualSpacing w:val="1"/>
        <w:jc w:val="both"/>
        <w:rPr>
          <w:rFonts w:ascii="Times New Roman" w:hAnsi="Times New Roman"/>
          <w:sz w:val="28"/>
        </w:rPr>
      </w:pPr>
    </w:p>
    <w:p w14:paraId="4D010000">
      <w:pPr>
        <w:tabs>
          <w:tab w:leader="none" w:pos="3526" w:val="left"/>
        </w:tabs>
        <w:ind w:firstLine="567" w:left="0" w:right="282"/>
        <w:contextualSpacing w:val="1"/>
        <w:jc w:val="both"/>
        <w:rPr>
          <w:rFonts w:ascii="Times New Roman" w:hAnsi="Times New Roman"/>
          <w:sz w:val="28"/>
        </w:rPr>
      </w:pPr>
    </w:p>
    <w:p w14:paraId="4E010000">
      <w:pPr>
        <w:tabs>
          <w:tab w:leader="none" w:pos="3526" w:val="left"/>
        </w:tabs>
        <w:ind w:firstLine="567" w:left="0" w:right="282"/>
        <w:contextualSpacing w:val="1"/>
        <w:jc w:val="both"/>
        <w:rPr>
          <w:rFonts w:ascii="Times New Roman" w:hAnsi="Times New Roman"/>
          <w:sz w:val="28"/>
        </w:rPr>
      </w:pPr>
    </w:p>
    <w:p w14:paraId="4F010000">
      <w:pPr>
        <w:tabs>
          <w:tab w:leader="none" w:pos="3526" w:val="left"/>
        </w:tabs>
        <w:ind w:firstLine="567" w:left="0" w:right="282"/>
        <w:contextualSpacing w:val="1"/>
        <w:jc w:val="both"/>
        <w:rPr>
          <w:rFonts w:ascii="Times New Roman" w:hAnsi="Times New Roman"/>
          <w:sz w:val="28"/>
        </w:rPr>
      </w:pPr>
    </w:p>
    <w:p w14:paraId="50010000">
      <w:pPr>
        <w:tabs>
          <w:tab w:leader="none" w:pos="3526" w:val="left"/>
        </w:tabs>
        <w:ind w:firstLine="567" w:left="0" w:right="282"/>
        <w:contextualSpacing w:val="1"/>
        <w:jc w:val="both"/>
        <w:rPr>
          <w:rFonts w:ascii="Times New Roman" w:hAnsi="Times New Roman"/>
          <w:sz w:val="28"/>
        </w:rPr>
      </w:pPr>
    </w:p>
    <w:p w14:paraId="51010000">
      <w:pPr>
        <w:tabs>
          <w:tab w:leader="none" w:pos="3526" w:val="left"/>
        </w:tabs>
        <w:ind w:firstLine="567" w:left="0" w:right="282"/>
        <w:contextualSpacing w:val="1"/>
        <w:jc w:val="both"/>
        <w:rPr>
          <w:rFonts w:ascii="Times New Roman" w:hAnsi="Times New Roman"/>
          <w:sz w:val="28"/>
        </w:rPr>
      </w:pPr>
    </w:p>
    <w:p w14:paraId="52010000">
      <w:pPr>
        <w:pStyle w:val="Style_3"/>
        <w:spacing w:after="0" w:before="0" w:line="276" w:lineRule="auto"/>
        <w:ind w:firstLine="709" w:left="0"/>
        <w:jc w:val="center"/>
        <w:rPr>
          <w:b w:val="1"/>
          <w:sz w:val="28"/>
        </w:rPr>
      </w:pPr>
      <w:r>
        <w:rPr>
          <w:b w:val="1"/>
          <w:sz w:val="28"/>
        </w:rPr>
        <w:t xml:space="preserve">1. Мониторинг оценки состояния и развития конкурентной среды субъектами предпринимательской деятельности, включая мониторинг наличия (отсутствия) административных барьеров, мониторинг удовлетворенности субъектов предпринимательской деятельности уровнем доступности, понятности и удобства получения официальной информации о состоянии конкурентной среды на рынках товаров, работ и услуг </w:t>
      </w:r>
      <w:r>
        <w:rPr>
          <w:b w:val="1"/>
          <w:sz w:val="28"/>
        </w:rPr>
        <w:t>в городе Волгодонске</w:t>
      </w:r>
      <w:r>
        <w:rPr>
          <w:b w:val="1"/>
          <w:sz w:val="28"/>
        </w:rPr>
        <w:t xml:space="preserve">, деятельности по содействию развитию конкуренции и оценки удовлетворенности субъектов предпринимательской деятельности деятельностью субъектов естественных монополий на территории </w:t>
      </w:r>
      <w:r>
        <w:rPr>
          <w:b w:val="1"/>
          <w:sz w:val="28"/>
        </w:rPr>
        <w:t>города Волгодонска</w:t>
      </w:r>
    </w:p>
    <w:p w14:paraId="53010000">
      <w:pPr>
        <w:pStyle w:val="Style_11"/>
        <w:spacing w:line="276" w:lineRule="auto"/>
        <w:ind w:firstLine="709" w:left="0"/>
        <w:jc w:val="both"/>
        <w:rPr>
          <w:color w:val="000000"/>
          <w:sz w:val="28"/>
        </w:rPr>
      </w:pPr>
    </w:p>
    <w:p w14:paraId="54010000">
      <w:pPr>
        <w:pStyle w:val="Style_12"/>
        <w:spacing w:before="0"/>
        <w:ind/>
        <w:jc w:val="center"/>
        <w:rPr>
          <w:rFonts w:ascii="Times New Roman" w:hAnsi="Times New Roman"/>
          <w:color w:val="000000"/>
          <w:sz w:val="28"/>
        </w:rPr>
      </w:pPr>
      <w:r>
        <w:rPr>
          <w:rFonts w:ascii="Times New Roman" w:hAnsi="Times New Roman"/>
          <w:color w:val="000000"/>
          <w:sz w:val="28"/>
        </w:rPr>
        <w:t>Характеристики бизнеса</w:t>
      </w:r>
    </w:p>
    <w:p w14:paraId="55010000"/>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9"/>
        <w:gridCol w:w="2660"/>
        <w:gridCol w:w="6662"/>
      </w:tblGrid>
      <w:tr>
        <w:trPr>
          <w:trHeight w:hRule="atLeast" w:val="793"/>
        </w:trPr>
        <w:tc>
          <w:tcPr>
            <w:tcW w:type="dxa" w:w="709"/>
            <w:vMerge w:val="restart"/>
            <w:tcBorders>
              <w:top w:color="000000" w:sz="4" w:val="single"/>
              <w:left w:color="000000" w:sz="4" w:val="single"/>
              <w:bottom w:color="000000" w:sz="4" w:val="single"/>
              <w:right w:color="000000" w:sz="4" w:val="single"/>
            </w:tcBorders>
          </w:tcPr>
          <w:p w14:paraId="56010000">
            <w:pPr>
              <w:ind/>
              <w:jc w:val="center"/>
              <w:rPr>
                <w:rFonts w:ascii="Times New Roman" w:hAnsi="Times New Roman"/>
                <w:b w:val="1"/>
                <w:sz w:val="28"/>
              </w:rPr>
            </w:pPr>
            <w:r>
              <w:rPr>
                <w:rFonts w:ascii="Times New Roman" w:hAnsi="Times New Roman"/>
                <w:b w:val="1"/>
                <w:sz w:val="28"/>
              </w:rPr>
              <w:t>№ п/п</w:t>
            </w:r>
          </w:p>
        </w:tc>
        <w:tc>
          <w:tcPr>
            <w:tcW w:type="dxa" w:w="2660"/>
            <w:vMerge w:val="restart"/>
            <w:tcBorders>
              <w:top w:color="000000" w:sz="4" w:val="single"/>
              <w:left w:color="000000" w:sz="4" w:val="single"/>
              <w:bottom w:color="000000" w:sz="4" w:val="single"/>
              <w:right w:color="000000" w:sz="4" w:val="single"/>
            </w:tcBorders>
            <w:shd w:fill="auto" w:val="clear"/>
            <w:vAlign w:val="center"/>
          </w:tcPr>
          <w:p w14:paraId="57010000">
            <w:pPr>
              <w:ind/>
              <w:jc w:val="center"/>
              <w:rPr>
                <w:rFonts w:ascii="Times New Roman" w:hAnsi="Times New Roman"/>
                <w:b w:val="1"/>
                <w:sz w:val="28"/>
              </w:rPr>
            </w:pPr>
            <w:r>
              <w:rPr>
                <w:rFonts w:ascii="Times New Roman" w:hAnsi="Times New Roman"/>
                <w:b w:val="1"/>
                <w:sz w:val="28"/>
              </w:rPr>
              <w:t xml:space="preserve">Наименование </w:t>
            </w:r>
            <w:r>
              <w:rPr>
                <w:rFonts w:ascii="Times New Roman" w:hAnsi="Times New Roman"/>
                <w:b w:val="1"/>
                <w:sz w:val="28"/>
              </w:rPr>
              <w:t xml:space="preserve">товарного </w:t>
            </w:r>
            <w:r>
              <w:rPr>
                <w:rFonts w:ascii="Times New Roman" w:hAnsi="Times New Roman"/>
                <w:b w:val="1"/>
                <w:sz w:val="28"/>
              </w:rPr>
              <w:t>рынк</w:t>
            </w:r>
            <w:r>
              <w:rPr>
                <w:rFonts w:ascii="Times New Roman" w:hAnsi="Times New Roman"/>
                <w:b w:val="1"/>
                <w:sz w:val="28"/>
              </w:rPr>
              <w:t>а согласно Постановлению Администрации города Волгодонска от 16.03.2020 №552</w:t>
            </w:r>
          </w:p>
        </w:tc>
        <w:tc>
          <w:tcPr>
            <w:tcW w:type="dxa" w:w="6662"/>
            <w:vMerge w:val="restart"/>
            <w:tcBorders>
              <w:top w:color="000000" w:sz="4" w:val="single"/>
              <w:left w:color="000000" w:sz="4" w:val="single"/>
              <w:bottom w:color="000000" w:sz="4" w:val="single"/>
              <w:right w:color="000000" w:sz="4" w:val="single"/>
            </w:tcBorders>
            <w:shd w:fill="auto" w:val="clear"/>
            <w:vAlign w:val="center"/>
          </w:tcPr>
          <w:p w14:paraId="58010000">
            <w:pPr>
              <w:ind/>
              <w:jc w:val="center"/>
              <w:rPr>
                <w:rFonts w:ascii="Times New Roman" w:hAnsi="Times New Roman"/>
                <w:b w:val="1"/>
                <w:color w:val="000000"/>
                <w:sz w:val="28"/>
              </w:rPr>
            </w:pPr>
            <w:r>
              <w:rPr>
                <w:rFonts w:ascii="Times New Roman" w:hAnsi="Times New Roman"/>
                <w:b w:val="1"/>
                <w:color w:val="000000"/>
                <w:sz w:val="28"/>
              </w:rPr>
              <w:t>Количество СМСП, осуществляющих деятельность в 2021 г</w:t>
            </w:r>
            <w:r>
              <w:rPr>
                <w:rFonts w:ascii="Times New Roman" w:hAnsi="Times New Roman"/>
                <w:b w:val="1"/>
                <w:color w:val="000000"/>
                <w:sz w:val="28"/>
              </w:rPr>
              <w:t>, единиц</w:t>
            </w:r>
          </w:p>
        </w:tc>
      </w:tr>
      <w:tr>
        <w:trPr>
          <w:trHeight w:hRule="atLeast" w:val="593"/>
        </w:trPr>
        <w:tc>
          <w:tcPr>
            <w:tcW w:type="dxa" w:w="709"/>
            <w:gridSpan w:val="1"/>
            <w:vMerge w:val="continue"/>
            <w:tcBorders>
              <w:top w:color="000000" w:sz="4" w:val="single"/>
              <w:left w:color="000000" w:sz="4" w:val="single"/>
              <w:bottom w:color="000000" w:sz="4" w:val="single"/>
              <w:right w:color="000000" w:sz="4" w:val="single"/>
            </w:tcBorders>
          </w:tcPr>
          <w:p/>
        </w:tc>
        <w:tc>
          <w:tcPr>
            <w:tcW w:type="dxa" w:w="266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6662"/>
            <w:gridSpan w:val="1"/>
            <w:vMerge w:val="continue"/>
            <w:tcBorders>
              <w:top w:color="000000" w:sz="4" w:val="single"/>
              <w:left w:color="000000" w:sz="4" w:val="single"/>
              <w:bottom w:color="000000" w:sz="4" w:val="single"/>
              <w:right w:color="000000" w:sz="4" w:val="single"/>
            </w:tcBorders>
            <w:shd w:fill="auto" w:val="clear"/>
            <w:vAlign w:val="center"/>
          </w:tcPr>
          <w:p/>
        </w:tc>
      </w:tr>
      <w:tr>
        <w:tc>
          <w:tcPr>
            <w:tcW w:type="dxa" w:w="709"/>
            <w:tcBorders>
              <w:top w:color="000000" w:sz="4" w:val="single"/>
              <w:left w:color="000000" w:sz="4" w:val="single"/>
              <w:bottom w:color="000000" w:sz="4" w:val="single"/>
              <w:right w:color="000000" w:sz="4" w:val="single"/>
            </w:tcBorders>
          </w:tcPr>
          <w:p w14:paraId="59010000">
            <w:pPr>
              <w:ind/>
              <w:jc w:val="center"/>
              <w:rPr>
                <w:rFonts w:ascii="Times New Roman" w:hAnsi="Times New Roman"/>
                <w:sz w:val="28"/>
              </w:rPr>
            </w:pPr>
            <w:r>
              <w:rPr>
                <w:rFonts w:ascii="Times New Roman" w:hAnsi="Times New Roman"/>
                <w:sz w:val="28"/>
              </w:rPr>
              <w:t>1.</w:t>
            </w:r>
          </w:p>
        </w:tc>
        <w:tc>
          <w:tcPr>
            <w:tcW w:type="dxa" w:w="2660"/>
            <w:tcBorders>
              <w:top w:color="000000" w:sz="4" w:val="single"/>
              <w:left w:color="000000" w:sz="4" w:val="single"/>
              <w:bottom w:color="000000" w:sz="4" w:val="single"/>
              <w:right w:color="000000" w:sz="4" w:val="single"/>
            </w:tcBorders>
            <w:shd w:fill="auto" w:val="clear"/>
          </w:tcPr>
          <w:p w14:paraId="5A010000">
            <w:pPr>
              <w:spacing w:after="0" w:line="240" w:lineRule="auto"/>
              <w:ind/>
              <w:rPr>
                <w:rFonts w:ascii="Times New Roman" w:hAnsi="Times New Roman"/>
                <w:color w:val="000000"/>
                <w:sz w:val="28"/>
              </w:rPr>
            </w:pPr>
            <w:r>
              <w:rPr>
                <w:rFonts w:ascii="Times New Roman" w:hAnsi="Times New Roman"/>
                <w:color w:val="000000"/>
                <w:sz w:val="28"/>
              </w:rPr>
              <w:t>Рынок медицинских услуг</w:t>
            </w:r>
          </w:p>
        </w:tc>
        <w:tc>
          <w:tcPr>
            <w:tcW w:type="dxa" w:w="6662"/>
            <w:tcBorders>
              <w:top w:color="000000" w:sz="4" w:val="single"/>
              <w:left w:color="000000" w:sz="4" w:val="single"/>
              <w:bottom w:color="000000" w:sz="4" w:val="single"/>
              <w:right w:color="000000" w:sz="4" w:val="single"/>
            </w:tcBorders>
          </w:tcPr>
          <w:p w14:paraId="5B010000">
            <w:pPr>
              <w:spacing w:after="0" w:line="240" w:lineRule="auto"/>
              <w:ind/>
              <w:rPr>
                <w:rFonts w:ascii="Times New Roman" w:hAnsi="Times New Roman"/>
                <w:b w:val="1"/>
                <w:color w:val="000000"/>
                <w:sz w:val="28"/>
              </w:rPr>
            </w:pPr>
            <w:r>
              <w:rPr>
                <w:rFonts w:ascii="Times New Roman" w:hAnsi="Times New Roman"/>
                <w:b w:val="1"/>
                <w:color w:val="000000"/>
                <w:sz w:val="28"/>
              </w:rPr>
              <w:t>74 всего</w:t>
            </w:r>
          </w:p>
          <w:p w14:paraId="5C010000">
            <w:pPr>
              <w:spacing w:after="0" w:line="240" w:lineRule="auto"/>
              <w:ind/>
              <w:rPr>
                <w:rFonts w:ascii="Times New Roman" w:hAnsi="Times New Roman"/>
                <w:color w:val="000000"/>
                <w:sz w:val="28"/>
              </w:rPr>
            </w:pPr>
            <w:r>
              <w:rPr>
                <w:rFonts w:ascii="Times New Roman" w:hAnsi="Times New Roman"/>
                <w:color w:val="000000"/>
                <w:sz w:val="28"/>
              </w:rPr>
              <w:t>86. Деятельность в области здравоохранения -2</w:t>
            </w:r>
          </w:p>
          <w:p w14:paraId="5D010000">
            <w:pPr>
              <w:spacing w:after="0" w:line="240" w:lineRule="auto"/>
              <w:ind/>
              <w:rPr>
                <w:rFonts w:ascii="Times New Roman" w:hAnsi="Times New Roman"/>
                <w:color w:val="000000"/>
                <w:sz w:val="28"/>
              </w:rPr>
            </w:pPr>
            <w:r>
              <w:rPr>
                <w:rFonts w:ascii="Times New Roman" w:hAnsi="Times New Roman"/>
                <w:color w:val="000000"/>
                <w:sz w:val="28"/>
              </w:rPr>
              <w:t>86.10. Деятельность больничных организаций – 3</w:t>
            </w:r>
          </w:p>
          <w:p w14:paraId="5E010000">
            <w:pPr>
              <w:spacing w:after="0" w:line="240" w:lineRule="auto"/>
              <w:ind/>
              <w:rPr>
                <w:rFonts w:ascii="Times New Roman" w:hAnsi="Times New Roman"/>
                <w:color w:val="000000"/>
                <w:sz w:val="28"/>
              </w:rPr>
            </w:pPr>
            <w:r>
              <w:rPr>
                <w:rFonts w:ascii="Times New Roman" w:hAnsi="Times New Roman"/>
                <w:color w:val="000000"/>
                <w:sz w:val="28"/>
              </w:rPr>
              <w:t>86.21. Общая врачебная практика – 14</w:t>
            </w:r>
          </w:p>
          <w:p w14:paraId="5F010000">
            <w:pPr>
              <w:spacing w:after="0" w:line="240" w:lineRule="auto"/>
              <w:ind/>
              <w:rPr>
                <w:rFonts w:ascii="Times New Roman" w:hAnsi="Times New Roman"/>
                <w:color w:val="000000"/>
                <w:sz w:val="28"/>
              </w:rPr>
            </w:pPr>
            <w:r>
              <w:rPr>
                <w:rFonts w:ascii="Times New Roman" w:hAnsi="Times New Roman"/>
                <w:color w:val="000000"/>
                <w:sz w:val="28"/>
              </w:rPr>
              <w:t>86.22. Специальная врачебная практика – 4</w:t>
            </w:r>
          </w:p>
          <w:p w14:paraId="60010000">
            <w:pPr>
              <w:spacing w:after="0" w:line="240" w:lineRule="auto"/>
              <w:ind/>
              <w:rPr>
                <w:rFonts w:ascii="Times New Roman" w:hAnsi="Times New Roman"/>
                <w:color w:val="000000"/>
                <w:sz w:val="28"/>
              </w:rPr>
            </w:pPr>
            <w:r>
              <w:rPr>
                <w:rFonts w:ascii="Times New Roman" w:hAnsi="Times New Roman"/>
                <w:color w:val="000000"/>
                <w:sz w:val="28"/>
              </w:rPr>
              <w:t>86.23. Стоматологическая практика – 43</w:t>
            </w:r>
          </w:p>
          <w:p w14:paraId="61010000">
            <w:pPr>
              <w:spacing w:after="0" w:line="240" w:lineRule="auto"/>
              <w:ind/>
              <w:rPr>
                <w:rFonts w:ascii="Times New Roman" w:hAnsi="Times New Roman"/>
                <w:color w:val="000000"/>
                <w:sz w:val="28"/>
              </w:rPr>
            </w:pPr>
            <w:r>
              <w:rPr>
                <w:rFonts w:ascii="Times New Roman" w:hAnsi="Times New Roman"/>
                <w:color w:val="000000"/>
                <w:sz w:val="28"/>
              </w:rPr>
              <w:t>86.90. Деятельность в области медицины прочая – 1</w:t>
            </w:r>
          </w:p>
          <w:p w14:paraId="62010000">
            <w:pPr>
              <w:spacing w:after="0" w:line="240" w:lineRule="auto"/>
              <w:ind/>
              <w:rPr>
                <w:rFonts w:ascii="Times New Roman" w:hAnsi="Times New Roman"/>
                <w:color w:val="000000"/>
                <w:sz w:val="28"/>
              </w:rPr>
            </w:pPr>
            <w:r>
              <w:rPr>
                <w:rFonts w:ascii="Times New Roman" w:hAnsi="Times New Roman"/>
                <w:color w:val="000000"/>
                <w:sz w:val="28"/>
              </w:rPr>
              <w:t>86.90.3. Деятельность массажных салонов – 1</w:t>
            </w:r>
          </w:p>
          <w:p w14:paraId="63010000">
            <w:pPr>
              <w:spacing w:after="0" w:line="240" w:lineRule="auto"/>
              <w:ind/>
              <w:rPr>
                <w:rFonts w:ascii="Times New Roman" w:hAnsi="Times New Roman"/>
                <w:color w:val="000000"/>
                <w:sz w:val="28"/>
              </w:rPr>
            </w:pPr>
            <w:r>
              <w:rPr>
                <w:rFonts w:ascii="Times New Roman" w:hAnsi="Times New Roman"/>
                <w:color w:val="000000"/>
                <w:sz w:val="28"/>
              </w:rPr>
              <w:t>86.90.9. Деятельность в области медицины прочая, не включенная в другие группировки - 7</w:t>
            </w:r>
          </w:p>
        </w:tc>
      </w:tr>
      <w:tr>
        <w:tc>
          <w:tcPr>
            <w:tcW w:type="dxa" w:w="709"/>
            <w:tcBorders>
              <w:top w:color="000000" w:sz="4" w:val="single"/>
              <w:left w:color="000000" w:sz="4" w:val="single"/>
              <w:bottom w:color="000000" w:sz="4" w:val="single"/>
              <w:right w:color="000000" w:sz="4" w:val="single"/>
            </w:tcBorders>
          </w:tcPr>
          <w:p w14:paraId="64010000">
            <w:pPr>
              <w:ind/>
              <w:jc w:val="center"/>
              <w:rPr>
                <w:rFonts w:ascii="Times New Roman" w:hAnsi="Times New Roman"/>
                <w:sz w:val="28"/>
              </w:rPr>
            </w:pPr>
            <w:r>
              <w:rPr>
                <w:rFonts w:ascii="Times New Roman" w:hAnsi="Times New Roman"/>
                <w:sz w:val="28"/>
              </w:rPr>
              <w:t>2.</w:t>
            </w:r>
          </w:p>
        </w:tc>
        <w:tc>
          <w:tcPr>
            <w:tcW w:type="dxa" w:w="2660"/>
            <w:tcBorders>
              <w:top w:color="000000" w:sz="4" w:val="single"/>
              <w:left w:color="000000" w:sz="4" w:val="single"/>
              <w:bottom w:color="000000" w:sz="4" w:val="single"/>
              <w:right w:color="000000" w:sz="4" w:val="single"/>
            </w:tcBorders>
          </w:tcPr>
          <w:p w14:paraId="65010000">
            <w:pPr>
              <w:spacing w:after="0" w:line="240" w:lineRule="auto"/>
              <w:ind/>
              <w:rPr>
                <w:rFonts w:ascii="Times New Roman" w:hAnsi="Times New Roman"/>
                <w:color w:val="000000"/>
                <w:sz w:val="28"/>
              </w:rPr>
            </w:pPr>
            <w:r>
              <w:rPr>
                <w:rFonts w:ascii="Times New Roman" w:hAnsi="Times New Roman"/>
                <w:color w:val="000000"/>
                <w:sz w:val="28"/>
              </w:rPr>
              <w:t xml:space="preserve">Рынок социальных услуг </w:t>
            </w:r>
          </w:p>
        </w:tc>
        <w:tc>
          <w:tcPr>
            <w:tcW w:type="dxa" w:w="6662"/>
            <w:tcBorders>
              <w:top w:color="000000" w:sz="4" w:val="single"/>
              <w:left w:color="000000" w:sz="4" w:val="single"/>
              <w:bottom w:color="000000" w:sz="4" w:val="single"/>
              <w:right w:color="000000" w:sz="4" w:val="single"/>
            </w:tcBorders>
          </w:tcPr>
          <w:p w14:paraId="6601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10 всего</w:t>
            </w:r>
          </w:p>
          <w:p w14:paraId="67010000">
            <w:pPr>
              <w:spacing w:after="0" w:line="240" w:lineRule="auto"/>
              <w:ind/>
              <w:rPr>
                <w:rFonts w:ascii="Times New Roman" w:hAnsi="Times New Roman"/>
                <w:color w:val="000000"/>
                <w:sz w:val="28"/>
              </w:rPr>
            </w:pPr>
            <w:r>
              <w:rPr>
                <w:rFonts w:ascii="Times New Roman" w:hAnsi="Times New Roman"/>
                <w:color w:val="000000"/>
                <w:sz w:val="28"/>
              </w:rPr>
              <w:t>88.91 Предоставление услуг по дневному уходу за детьми – 2</w:t>
            </w:r>
          </w:p>
          <w:p w14:paraId="68010000">
            <w:pPr>
              <w:spacing w:after="0" w:line="240" w:lineRule="auto"/>
              <w:ind/>
              <w:rPr>
                <w:rFonts w:ascii="Times New Roman" w:hAnsi="Times New Roman"/>
                <w:color w:val="000000"/>
                <w:sz w:val="28"/>
              </w:rPr>
            </w:pPr>
            <w:r>
              <w:rPr>
                <w:rFonts w:ascii="Times New Roman" w:hAnsi="Times New Roman"/>
                <w:color w:val="000000"/>
                <w:sz w:val="28"/>
              </w:rPr>
              <w:t>88.10 Предоставление социальных услуг без обеспечения проживания престарелым и инвалидам – 6</w:t>
            </w:r>
          </w:p>
          <w:p w14:paraId="69010000">
            <w:pPr>
              <w:spacing w:after="0" w:line="240" w:lineRule="auto"/>
              <w:ind/>
              <w:rPr>
                <w:rFonts w:ascii="Times New Roman" w:hAnsi="Times New Roman"/>
                <w:color w:val="000000"/>
                <w:sz w:val="28"/>
              </w:rPr>
            </w:pPr>
            <w:r>
              <w:rPr>
                <w:rFonts w:ascii="Times New Roman" w:hAnsi="Times New Roman"/>
                <w:color w:val="000000"/>
                <w:sz w:val="28"/>
              </w:rPr>
              <w:t>87.30 Деятельность по уходу за престарелыми и инвалидами с обеспечением проживания - 2</w:t>
            </w:r>
          </w:p>
        </w:tc>
      </w:tr>
      <w:tr>
        <w:tc>
          <w:tcPr>
            <w:tcW w:type="dxa" w:w="709"/>
            <w:tcBorders>
              <w:top w:color="000000" w:sz="4" w:val="single"/>
              <w:left w:color="000000" w:sz="4" w:val="single"/>
              <w:bottom w:color="000000" w:sz="4" w:val="single"/>
              <w:right w:color="000000" w:sz="4" w:val="single"/>
            </w:tcBorders>
          </w:tcPr>
          <w:p w14:paraId="6A010000">
            <w:pPr>
              <w:ind/>
              <w:jc w:val="center"/>
              <w:rPr>
                <w:rFonts w:ascii="Times New Roman" w:hAnsi="Times New Roman"/>
                <w:sz w:val="28"/>
              </w:rPr>
            </w:pPr>
            <w:r>
              <w:rPr>
                <w:rFonts w:ascii="Times New Roman" w:hAnsi="Times New Roman"/>
                <w:sz w:val="28"/>
              </w:rPr>
              <w:t>3.</w:t>
            </w:r>
          </w:p>
        </w:tc>
        <w:tc>
          <w:tcPr>
            <w:tcW w:type="dxa" w:w="2660"/>
            <w:tcBorders>
              <w:top w:color="000000" w:sz="4" w:val="single"/>
              <w:left w:color="000000" w:sz="4" w:val="single"/>
              <w:bottom w:color="000000" w:sz="4" w:val="single"/>
              <w:right w:color="000000" w:sz="4" w:val="single"/>
            </w:tcBorders>
          </w:tcPr>
          <w:p w14:paraId="6B010000">
            <w:pPr>
              <w:spacing w:after="0" w:line="240" w:lineRule="auto"/>
              <w:ind/>
              <w:rPr>
                <w:rFonts w:ascii="Times New Roman" w:hAnsi="Times New Roman"/>
                <w:color w:val="000000"/>
                <w:sz w:val="28"/>
              </w:rPr>
            </w:pPr>
            <w:r>
              <w:rPr>
                <w:rFonts w:ascii="Times New Roman" w:hAnsi="Times New Roman"/>
                <w:color w:val="000000"/>
                <w:sz w:val="28"/>
              </w:rPr>
              <w:t xml:space="preserve">Рынок услуг дошкольного образования </w:t>
            </w:r>
          </w:p>
        </w:tc>
        <w:tc>
          <w:tcPr>
            <w:tcW w:type="dxa" w:w="6662"/>
            <w:tcBorders>
              <w:top w:color="000000" w:sz="4" w:val="single"/>
              <w:left w:color="000000" w:sz="4" w:val="single"/>
              <w:bottom w:color="000000" w:sz="4" w:val="single"/>
              <w:right w:color="000000" w:sz="4" w:val="single"/>
            </w:tcBorders>
          </w:tcPr>
          <w:p w14:paraId="6C010000">
            <w:pPr>
              <w:spacing w:after="0" w:line="240" w:lineRule="auto"/>
              <w:ind/>
              <w:rPr>
                <w:rFonts w:ascii="Times New Roman" w:hAnsi="Times New Roman"/>
                <w:color w:val="000000"/>
                <w:sz w:val="28"/>
              </w:rPr>
            </w:pPr>
            <w:r>
              <w:rPr>
                <w:rFonts w:ascii="Times New Roman" w:hAnsi="Times New Roman"/>
                <w:color w:val="000000"/>
                <w:sz w:val="28"/>
              </w:rPr>
              <w:t>85.11 Образование дошкольное -</w:t>
            </w:r>
            <w:r>
              <w:rPr>
                <w:rFonts w:ascii="Times New Roman" w:hAnsi="Times New Roman"/>
                <w:b w:val="1"/>
                <w:color w:val="000000"/>
                <w:sz w:val="28"/>
              </w:rPr>
              <w:t>6</w:t>
            </w:r>
          </w:p>
        </w:tc>
      </w:tr>
      <w:tr>
        <w:tc>
          <w:tcPr>
            <w:tcW w:type="dxa" w:w="709"/>
            <w:tcBorders>
              <w:top w:color="000000" w:sz="4" w:val="single"/>
              <w:left w:color="000000" w:sz="4" w:val="single"/>
              <w:bottom w:color="000000" w:sz="4" w:val="single"/>
              <w:right w:color="000000" w:sz="4" w:val="single"/>
            </w:tcBorders>
          </w:tcPr>
          <w:p w14:paraId="6D010000">
            <w:pPr>
              <w:ind/>
              <w:jc w:val="center"/>
              <w:rPr>
                <w:rFonts w:ascii="Times New Roman" w:hAnsi="Times New Roman"/>
                <w:sz w:val="28"/>
              </w:rPr>
            </w:pPr>
            <w:r>
              <w:rPr>
                <w:rFonts w:ascii="Times New Roman" w:hAnsi="Times New Roman"/>
                <w:sz w:val="28"/>
              </w:rPr>
              <w:t>4.</w:t>
            </w:r>
          </w:p>
        </w:tc>
        <w:tc>
          <w:tcPr>
            <w:tcW w:type="dxa" w:w="2660"/>
            <w:tcBorders>
              <w:top w:color="000000" w:sz="4" w:val="single"/>
              <w:left w:color="000000" w:sz="4" w:val="single"/>
              <w:bottom w:color="000000" w:sz="4" w:val="single"/>
              <w:right w:color="000000" w:sz="4" w:val="single"/>
            </w:tcBorders>
          </w:tcPr>
          <w:p w14:paraId="6E010000">
            <w:pPr>
              <w:spacing w:after="0" w:line="240" w:lineRule="auto"/>
              <w:ind/>
              <w:rPr>
                <w:rFonts w:ascii="Times New Roman" w:hAnsi="Times New Roman"/>
                <w:color w:val="000000"/>
                <w:sz w:val="28"/>
              </w:rPr>
            </w:pPr>
            <w:r>
              <w:rPr>
                <w:rFonts w:ascii="Times New Roman" w:hAnsi="Times New Roman"/>
                <w:color w:val="000000"/>
                <w:sz w:val="28"/>
              </w:rPr>
              <w:t xml:space="preserve">Рынок услуг детского отдыха и оздоровления </w:t>
            </w:r>
          </w:p>
        </w:tc>
        <w:tc>
          <w:tcPr>
            <w:tcW w:type="dxa" w:w="6662"/>
            <w:tcBorders>
              <w:top w:color="000000" w:sz="4" w:val="single"/>
              <w:left w:color="000000" w:sz="4" w:val="single"/>
              <w:bottom w:color="000000" w:sz="4" w:val="single"/>
              <w:right w:color="000000" w:sz="4" w:val="single"/>
            </w:tcBorders>
          </w:tcPr>
          <w:p w14:paraId="6F010000">
            <w:pPr>
              <w:spacing w:after="0" w:line="240" w:lineRule="auto"/>
              <w:ind/>
              <w:rPr>
                <w:rFonts w:ascii="Times New Roman" w:hAnsi="Times New Roman"/>
                <w:color w:val="000000"/>
                <w:sz w:val="28"/>
              </w:rPr>
            </w:pPr>
            <w:r>
              <w:rPr>
                <w:rFonts w:ascii="Times New Roman" w:hAnsi="Times New Roman"/>
                <w:color w:val="000000"/>
                <w:sz w:val="28"/>
              </w:rPr>
              <w:t xml:space="preserve">85.41.1 Образование в области спорта и отдыха - </w:t>
            </w:r>
            <w:r>
              <w:rPr>
                <w:rFonts w:ascii="Times New Roman" w:hAnsi="Times New Roman"/>
                <w:b w:val="1"/>
                <w:color w:val="000000"/>
                <w:sz w:val="28"/>
              </w:rPr>
              <w:t>3</w:t>
            </w:r>
          </w:p>
        </w:tc>
      </w:tr>
      <w:tr>
        <w:tc>
          <w:tcPr>
            <w:tcW w:type="dxa" w:w="709"/>
            <w:tcBorders>
              <w:top w:color="000000" w:sz="4" w:val="single"/>
              <w:left w:color="000000" w:sz="4" w:val="single"/>
              <w:bottom w:color="000000" w:sz="4" w:val="single"/>
              <w:right w:color="000000" w:sz="4" w:val="single"/>
            </w:tcBorders>
          </w:tcPr>
          <w:p w14:paraId="70010000">
            <w:pPr>
              <w:ind/>
              <w:jc w:val="center"/>
              <w:rPr>
                <w:rFonts w:ascii="Times New Roman" w:hAnsi="Times New Roman"/>
                <w:sz w:val="28"/>
              </w:rPr>
            </w:pPr>
            <w:r>
              <w:rPr>
                <w:rFonts w:ascii="Times New Roman" w:hAnsi="Times New Roman"/>
                <w:sz w:val="28"/>
              </w:rPr>
              <w:t>5.</w:t>
            </w:r>
          </w:p>
          <w:p w14:paraId="71010000">
            <w:pPr>
              <w:rPr>
                <w:rFonts w:ascii="Times New Roman" w:hAnsi="Times New Roman"/>
                <w:sz w:val="28"/>
              </w:rPr>
            </w:pPr>
          </w:p>
        </w:tc>
        <w:tc>
          <w:tcPr>
            <w:tcW w:type="dxa" w:w="2660"/>
            <w:tcBorders>
              <w:top w:color="000000" w:sz="4" w:val="single"/>
              <w:left w:color="000000" w:sz="4" w:val="single"/>
              <w:bottom w:color="000000" w:sz="4" w:val="single"/>
              <w:right w:color="000000" w:sz="4" w:val="single"/>
            </w:tcBorders>
          </w:tcPr>
          <w:p w14:paraId="72010000">
            <w:pPr>
              <w:spacing w:after="0" w:line="240" w:lineRule="auto"/>
              <w:ind/>
              <w:rPr>
                <w:rFonts w:ascii="Times New Roman" w:hAnsi="Times New Roman"/>
                <w:color w:val="000000"/>
                <w:sz w:val="28"/>
              </w:rPr>
            </w:pPr>
            <w:r>
              <w:rPr>
                <w:rFonts w:ascii="Times New Roman" w:hAnsi="Times New Roman"/>
                <w:color w:val="000000"/>
                <w:sz w:val="28"/>
              </w:rPr>
              <w:t xml:space="preserve">Рынок услуг дополнительного образования детей </w:t>
            </w:r>
          </w:p>
        </w:tc>
        <w:tc>
          <w:tcPr>
            <w:tcW w:type="dxa" w:w="6662"/>
            <w:tcBorders>
              <w:top w:color="000000" w:sz="4" w:val="single"/>
              <w:left w:color="000000" w:sz="4" w:val="single"/>
              <w:bottom w:color="000000" w:sz="4" w:val="single"/>
              <w:right w:color="000000" w:sz="4" w:val="single"/>
            </w:tcBorders>
          </w:tcPr>
          <w:p w14:paraId="73010000">
            <w:pPr>
              <w:spacing w:after="0" w:line="240" w:lineRule="auto"/>
              <w:ind/>
              <w:rPr>
                <w:rFonts w:ascii="Times New Roman" w:hAnsi="Times New Roman"/>
                <w:color w:val="000000"/>
                <w:sz w:val="28"/>
              </w:rPr>
            </w:pPr>
            <w:r>
              <w:rPr>
                <w:rFonts w:ascii="Times New Roman" w:hAnsi="Times New Roman"/>
                <w:color w:val="000000"/>
                <w:sz w:val="28"/>
              </w:rPr>
              <w:t xml:space="preserve">85.41 Образование дополнительное детей и взрослых </w:t>
            </w:r>
            <w:r>
              <w:rPr>
                <w:rFonts w:ascii="Times New Roman" w:hAnsi="Times New Roman"/>
                <w:b w:val="1"/>
                <w:color w:val="000000"/>
                <w:sz w:val="28"/>
              </w:rPr>
              <w:t>- 27</w:t>
            </w:r>
          </w:p>
        </w:tc>
      </w:tr>
      <w:tr>
        <w:tc>
          <w:tcPr>
            <w:tcW w:type="dxa" w:w="709"/>
            <w:tcBorders>
              <w:top w:color="000000" w:sz="4" w:val="single"/>
              <w:left w:color="000000" w:sz="4" w:val="single"/>
              <w:bottom w:color="000000" w:sz="4" w:val="single"/>
              <w:right w:color="000000" w:sz="4" w:val="single"/>
            </w:tcBorders>
          </w:tcPr>
          <w:p w14:paraId="74010000">
            <w:pPr>
              <w:ind/>
              <w:jc w:val="center"/>
              <w:rPr>
                <w:rFonts w:ascii="Times New Roman" w:hAnsi="Times New Roman"/>
                <w:sz w:val="28"/>
              </w:rPr>
            </w:pPr>
            <w:r>
              <w:rPr>
                <w:rFonts w:ascii="Times New Roman" w:hAnsi="Times New Roman"/>
                <w:sz w:val="28"/>
              </w:rPr>
              <w:t>6.</w:t>
            </w:r>
          </w:p>
        </w:tc>
        <w:tc>
          <w:tcPr>
            <w:tcW w:type="dxa" w:w="2660"/>
            <w:tcBorders>
              <w:top w:color="000000" w:sz="4" w:val="single"/>
              <w:left w:color="000000" w:sz="4" w:val="single"/>
              <w:bottom w:color="000000" w:sz="4" w:val="single"/>
              <w:right w:color="000000" w:sz="4" w:val="single"/>
            </w:tcBorders>
          </w:tcPr>
          <w:p w14:paraId="75010000">
            <w:pPr>
              <w:spacing w:after="0" w:line="240" w:lineRule="auto"/>
              <w:ind/>
              <w:rPr>
                <w:rFonts w:ascii="Times New Roman" w:hAnsi="Times New Roman"/>
                <w:color w:val="000000"/>
                <w:sz w:val="28"/>
              </w:rPr>
            </w:pPr>
            <w:r>
              <w:rPr>
                <w:rFonts w:ascii="Times New Roman" w:hAnsi="Times New Roman"/>
                <w:color w:val="000000"/>
                <w:sz w:val="28"/>
              </w:rPr>
              <w:t xml:space="preserve">Рынок жилищного строительства (за исключением Московского фонда реновации жилой застройки и индивидуального жилищного строительства) </w:t>
            </w:r>
          </w:p>
        </w:tc>
        <w:tc>
          <w:tcPr>
            <w:tcW w:type="dxa" w:w="6662"/>
            <w:tcBorders>
              <w:top w:color="000000" w:sz="4" w:val="single"/>
              <w:left w:color="000000" w:sz="4" w:val="single"/>
              <w:bottom w:color="000000" w:sz="4" w:val="single"/>
              <w:right w:color="000000" w:sz="4" w:val="single"/>
            </w:tcBorders>
          </w:tcPr>
          <w:p w14:paraId="76010000">
            <w:pPr>
              <w:spacing w:after="0" w:line="240" w:lineRule="auto"/>
              <w:ind/>
              <w:rPr>
                <w:rFonts w:ascii="Times New Roman" w:hAnsi="Times New Roman"/>
                <w:color w:val="000000"/>
                <w:sz w:val="28"/>
              </w:rPr>
            </w:pPr>
            <w:r>
              <w:rPr>
                <w:rFonts w:ascii="Times New Roman" w:hAnsi="Times New Roman"/>
                <w:color w:val="000000"/>
                <w:sz w:val="28"/>
              </w:rPr>
              <w:t xml:space="preserve">41.20 Строительство жилых и нежилых зданий - </w:t>
            </w:r>
            <w:r>
              <w:rPr>
                <w:rFonts w:ascii="Times New Roman" w:hAnsi="Times New Roman"/>
                <w:b w:val="1"/>
                <w:color w:val="000000"/>
                <w:sz w:val="28"/>
              </w:rPr>
              <w:t>180</w:t>
            </w:r>
          </w:p>
        </w:tc>
      </w:tr>
      <w:tr>
        <w:tc>
          <w:tcPr>
            <w:tcW w:type="dxa" w:w="709"/>
            <w:tcBorders>
              <w:top w:color="000000" w:sz="4" w:val="single"/>
              <w:left w:color="000000" w:sz="4" w:val="single"/>
              <w:bottom w:color="000000" w:sz="4" w:val="single"/>
              <w:right w:color="000000" w:sz="4" w:val="single"/>
            </w:tcBorders>
          </w:tcPr>
          <w:p w14:paraId="77010000">
            <w:pPr>
              <w:ind/>
              <w:jc w:val="center"/>
              <w:rPr>
                <w:rFonts w:ascii="Times New Roman" w:hAnsi="Times New Roman"/>
                <w:sz w:val="28"/>
              </w:rPr>
            </w:pPr>
            <w:r>
              <w:rPr>
                <w:rFonts w:ascii="Times New Roman" w:hAnsi="Times New Roman"/>
                <w:sz w:val="28"/>
              </w:rPr>
              <w:t>7.</w:t>
            </w:r>
          </w:p>
        </w:tc>
        <w:tc>
          <w:tcPr>
            <w:tcW w:type="dxa" w:w="2660"/>
            <w:tcBorders>
              <w:top w:color="000000" w:sz="4" w:val="single"/>
              <w:left w:color="000000" w:sz="4" w:val="single"/>
              <w:bottom w:color="000000" w:sz="4" w:val="single"/>
              <w:right w:color="000000" w:sz="4" w:val="single"/>
            </w:tcBorders>
          </w:tcPr>
          <w:p w14:paraId="78010000">
            <w:pPr>
              <w:spacing w:after="0" w:line="240" w:lineRule="auto"/>
              <w:ind/>
              <w:rPr>
                <w:rFonts w:ascii="Times New Roman" w:hAnsi="Times New Roman"/>
                <w:color w:val="000000"/>
                <w:sz w:val="28"/>
              </w:rPr>
            </w:pPr>
            <w:r>
              <w:rPr>
                <w:rFonts w:ascii="Times New Roman" w:hAnsi="Times New Roman"/>
                <w:color w:val="000000"/>
                <w:sz w:val="28"/>
              </w:rPr>
              <w:t xml:space="preserve">Рынок дорожной деятельности (за исключением проектирования) </w:t>
            </w:r>
          </w:p>
        </w:tc>
        <w:tc>
          <w:tcPr>
            <w:tcW w:type="dxa" w:w="6662"/>
            <w:tcBorders>
              <w:top w:color="000000" w:sz="4" w:val="single"/>
              <w:left w:color="000000" w:sz="4" w:val="single"/>
              <w:bottom w:color="000000" w:sz="4" w:val="single"/>
              <w:right w:color="000000" w:sz="4" w:val="single"/>
            </w:tcBorders>
          </w:tcPr>
          <w:p w14:paraId="79010000">
            <w:pPr>
              <w:spacing w:after="0" w:line="240" w:lineRule="auto"/>
              <w:ind/>
              <w:rPr>
                <w:rFonts w:ascii="Times New Roman" w:hAnsi="Times New Roman"/>
                <w:b w:val="1"/>
                <w:color w:val="000000"/>
                <w:sz w:val="28"/>
              </w:rPr>
            </w:pPr>
            <w:r>
              <w:rPr>
                <w:rFonts w:ascii="Times New Roman" w:hAnsi="Times New Roman"/>
                <w:color w:val="000000"/>
                <w:sz w:val="28"/>
              </w:rPr>
              <w:t>52.21.22 Деятельность по эксплуатации автомобильных дорог и автомагистралей -</w:t>
            </w:r>
            <w:r>
              <w:rPr>
                <w:rFonts w:ascii="Times New Roman" w:hAnsi="Times New Roman"/>
                <w:b w:val="1"/>
                <w:color w:val="000000"/>
                <w:sz w:val="28"/>
              </w:rPr>
              <w:t>11</w:t>
            </w:r>
          </w:p>
          <w:p w14:paraId="7A010000">
            <w:pPr>
              <w:spacing w:after="0" w:line="240" w:lineRule="auto"/>
              <w:ind/>
              <w:rPr>
                <w:rFonts w:ascii="Times New Roman" w:hAnsi="Times New Roman"/>
                <w:color w:val="000000"/>
                <w:sz w:val="28"/>
              </w:rPr>
            </w:pPr>
            <w:r>
              <w:rPr>
                <w:rFonts w:ascii="Times New Roman" w:hAnsi="Times New Roman"/>
                <w:color w:val="000000"/>
                <w:sz w:val="28"/>
              </w:rPr>
              <w:t>42.11 Строительство автомобильных дорог и автомагистралей -</w:t>
            </w:r>
            <w:r>
              <w:rPr>
                <w:rFonts w:ascii="Times New Roman" w:hAnsi="Times New Roman"/>
                <w:b w:val="1"/>
                <w:color w:val="000000"/>
                <w:sz w:val="28"/>
              </w:rPr>
              <w:t>14</w:t>
            </w:r>
          </w:p>
        </w:tc>
      </w:tr>
      <w:tr>
        <w:tc>
          <w:tcPr>
            <w:tcW w:type="dxa" w:w="709"/>
            <w:tcBorders>
              <w:top w:color="000000" w:sz="4" w:val="single"/>
              <w:left w:color="000000" w:sz="4" w:val="single"/>
              <w:bottom w:color="000000" w:sz="4" w:val="single"/>
              <w:right w:color="000000" w:sz="4" w:val="single"/>
            </w:tcBorders>
          </w:tcPr>
          <w:p w14:paraId="7B010000">
            <w:pPr>
              <w:ind/>
              <w:jc w:val="center"/>
              <w:rPr>
                <w:rFonts w:ascii="Times New Roman" w:hAnsi="Times New Roman"/>
                <w:sz w:val="28"/>
              </w:rPr>
            </w:pPr>
            <w:r>
              <w:rPr>
                <w:rFonts w:ascii="Times New Roman" w:hAnsi="Times New Roman"/>
                <w:sz w:val="28"/>
              </w:rPr>
              <w:t>8.</w:t>
            </w:r>
          </w:p>
        </w:tc>
        <w:tc>
          <w:tcPr>
            <w:tcW w:type="dxa" w:w="2660"/>
            <w:tcBorders>
              <w:top w:color="000000" w:sz="4" w:val="single"/>
              <w:left w:color="000000" w:sz="4" w:val="single"/>
              <w:bottom w:color="000000" w:sz="4" w:val="single"/>
              <w:right w:color="000000" w:sz="4" w:val="single"/>
            </w:tcBorders>
          </w:tcPr>
          <w:p w14:paraId="7C010000">
            <w:pPr>
              <w:spacing w:after="0" w:line="240" w:lineRule="auto"/>
              <w:ind/>
              <w:rPr>
                <w:rFonts w:ascii="Times New Roman" w:hAnsi="Times New Roman"/>
                <w:color w:val="000000"/>
                <w:sz w:val="28"/>
              </w:rPr>
            </w:pPr>
            <w:r>
              <w:rPr>
                <w:rFonts w:ascii="Times New Roman" w:hAnsi="Times New Roman"/>
                <w:color w:val="000000"/>
                <w:sz w:val="28"/>
              </w:rPr>
              <w:t xml:space="preserve">Рынок теплоснабжения (производство тепловой энергии) </w:t>
            </w:r>
          </w:p>
        </w:tc>
        <w:tc>
          <w:tcPr>
            <w:tcW w:type="dxa" w:w="6662"/>
            <w:tcBorders>
              <w:top w:color="000000" w:sz="4" w:val="single"/>
              <w:left w:color="000000" w:sz="4" w:val="single"/>
              <w:bottom w:color="000000" w:sz="4" w:val="single"/>
              <w:right w:color="000000" w:sz="4" w:val="single"/>
            </w:tcBorders>
          </w:tcPr>
          <w:p w14:paraId="7D010000">
            <w:pPr>
              <w:spacing w:after="0" w:line="240" w:lineRule="auto"/>
              <w:ind/>
              <w:rPr>
                <w:rFonts w:ascii="Times New Roman" w:hAnsi="Times New Roman"/>
                <w:color w:val="000000"/>
                <w:sz w:val="28"/>
              </w:rPr>
            </w:pPr>
            <w:r>
              <w:rPr>
                <w:rFonts w:ascii="Times New Roman" w:hAnsi="Times New Roman"/>
                <w:color w:val="000000"/>
                <w:sz w:val="28"/>
              </w:rPr>
              <w:t xml:space="preserve">35.30.1 Производство пара и горячей воды (тепловой энергии) - </w:t>
            </w:r>
            <w:r>
              <w:rPr>
                <w:rFonts w:ascii="Times New Roman" w:hAnsi="Times New Roman"/>
                <w:b w:val="1"/>
                <w:color w:val="000000"/>
                <w:sz w:val="28"/>
              </w:rPr>
              <w:t>4</w:t>
            </w:r>
          </w:p>
        </w:tc>
      </w:tr>
      <w:tr>
        <w:tc>
          <w:tcPr>
            <w:tcW w:type="dxa" w:w="709"/>
            <w:tcBorders>
              <w:top w:color="000000" w:sz="4" w:val="single"/>
              <w:left w:color="000000" w:sz="4" w:val="single"/>
              <w:bottom w:color="000000" w:sz="4" w:val="single"/>
              <w:right w:color="000000" w:sz="4" w:val="single"/>
            </w:tcBorders>
          </w:tcPr>
          <w:p w14:paraId="7E010000">
            <w:pPr>
              <w:ind/>
              <w:jc w:val="center"/>
              <w:rPr>
                <w:rFonts w:ascii="Times New Roman" w:hAnsi="Times New Roman"/>
                <w:sz w:val="28"/>
              </w:rPr>
            </w:pPr>
            <w:r>
              <w:rPr>
                <w:rFonts w:ascii="Times New Roman" w:hAnsi="Times New Roman"/>
                <w:sz w:val="28"/>
              </w:rPr>
              <w:t>9.</w:t>
            </w:r>
          </w:p>
        </w:tc>
        <w:tc>
          <w:tcPr>
            <w:tcW w:type="dxa" w:w="2660"/>
            <w:tcBorders>
              <w:top w:color="000000" w:sz="4" w:val="single"/>
              <w:left w:color="000000" w:sz="4" w:val="single"/>
              <w:bottom w:color="000000" w:sz="4" w:val="single"/>
              <w:right w:color="000000" w:sz="4" w:val="single"/>
            </w:tcBorders>
          </w:tcPr>
          <w:p w14:paraId="7F010000">
            <w:pPr>
              <w:spacing w:after="0" w:line="240" w:lineRule="auto"/>
              <w:ind/>
              <w:rPr>
                <w:rFonts w:ascii="Times New Roman" w:hAnsi="Times New Roman"/>
                <w:color w:val="000000"/>
                <w:sz w:val="28"/>
              </w:rPr>
            </w:pPr>
            <w:r>
              <w:rPr>
                <w:rFonts w:ascii="Times New Roman" w:hAnsi="Times New Roman"/>
                <w:color w:val="000000"/>
                <w:sz w:val="28"/>
              </w:rPr>
              <w:t xml:space="preserve">Рынок выполнения работ по содержанию и текущему ремонту общего имущества собственников помещений в многоквартирном доме </w:t>
            </w:r>
          </w:p>
        </w:tc>
        <w:tc>
          <w:tcPr>
            <w:tcW w:type="dxa" w:w="6662"/>
            <w:tcBorders>
              <w:top w:color="000000" w:sz="4" w:val="single"/>
              <w:left w:color="000000" w:sz="4" w:val="single"/>
              <w:bottom w:color="000000" w:sz="4" w:val="single"/>
              <w:right w:color="000000" w:sz="4" w:val="single"/>
            </w:tcBorders>
          </w:tcPr>
          <w:p w14:paraId="80010000">
            <w:pPr>
              <w:spacing w:after="0" w:line="240" w:lineRule="auto"/>
              <w:ind/>
              <w:rPr>
                <w:rFonts w:ascii="Times New Roman" w:hAnsi="Times New Roman"/>
                <w:color w:val="000000"/>
                <w:sz w:val="28"/>
              </w:rPr>
            </w:pPr>
            <w:r>
              <w:rPr>
                <w:rFonts w:ascii="Times New Roman" w:hAnsi="Times New Roman"/>
                <w:color w:val="000000"/>
                <w:sz w:val="28"/>
              </w:rPr>
              <w:t xml:space="preserve">68.32.1 Управление эксплуатацией жилого фонда за вознаграждение или на договорной основе – </w:t>
            </w:r>
            <w:r>
              <w:rPr>
                <w:rFonts w:ascii="Times New Roman" w:hAnsi="Times New Roman"/>
                <w:b w:val="1"/>
                <w:color w:val="000000"/>
                <w:sz w:val="28"/>
              </w:rPr>
              <w:t>28</w:t>
            </w:r>
          </w:p>
          <w:p w14:paraId="81010000">
            <w:pPr>
              <w:spacing w:after="0" w:line="240" w:lineRule="auto"/>
              <w:ind/>
              <w:rPr>
                <w:rFonts w:ascii="Times New Roman" w:hAnsi="Times New Roman"/>
                <w:color w:val="000000"/>
                <w:sz w:val="28"/>
              </w:rPr>
            </w:pPr>
            <w:r>
              <w:rPr>
                <w:rFonts w:ascii="Times New Roman" w:hAnsi="Times New Roman"/>
                <w:color w:val="000000"/>
                <w:sz w:val="28"/>
              </w:rPr>
              <w:t xml:space="preserve">81.10 Деятельность по комплексному обслуживанию помещений - </w:t>
            </w:r>
            <w:r>
              <w:rPr>
                <w:rFonts w:ascii="Times New Roman" w:hAnsi="Times New Roman"/>
                <w:b w:val="1"/>
                <w:color w:val="000000"/>
                <w:sz w:val="28"/>
              </w:rPr>
              <w:t>16</w:t>
            </w:r>
          </w:p>
        </w:tc>
      </w:tr>
      <w:tr>
        <w:tc>
          <w:tcPr>
            <w:tcW w:type="dxa" w:w="709"/>
            <w:tcBorders>
              <w:top w:color="000000" w:sz="4" w:val="single"/>
              <w:left w:color="000000" w:sz="4" w:val="single"/>
              <w:bottom w:color="000000" w:sz="4" w:val="single"/>
              <w:right w:color="000000" w:sz="4" w:val="single"/>
            </w:tcBorders>
          </w:tcPr>
          <w:p w14:paraId="82010000">
            <w:pPr>
              <w:ind/>
              <w:jc w:val="center"/>
              <w:rPr>
                <w:rFonts w:ascii="Times New Roman" w:hAnsi="Times New Roman"/>
                <w:sz w:val="28"/>
              </w:rPr>
            </w:pPr>
            <w:r>
              <w:rPr>
                <w:rFonts w:ascii="Times New Roman" w:hAnsi="Times New Roman"/>
                <w:sz w:val="28"/>
              </w:rPr>
              <w:t>10.</w:t>
            </w:r>
          </w:p>
        </w:tc>
        <w:tc>
          <w:tcPr>
            <w:tcW w:type="dxa" w:w="2660"/>
            <w:tcBorders>
              <w:top w:color="000000" w:sz="4" w:val="single"/>
              <w:left w:color="000000" w:sz="4" w:val="single"/>
              <w:bottom w:color="000000" w:sz="4" w:val="single"/>
              <w:right w:color="000000" w:sz="4" w:val="single"/>
            </w:tcBorders>
          </w:tcPr>
          <w:p w14:paraId="83010000">
            <w:pPr>
              <w:spacing w:after="0" w:line="240" w:lineRule="auto"/>
              <w:ind/>
              <w:rPr>
                <w:rFonts w:ascii="Times New Roman" w:hAnsi="Times New Roman"/>
                <w:color w:val="000000"/>
                <w:sz w:val="28"/>
              </w:rPr>
            </w:pPr>
            <w:r>
              <w:rPr>
                <w:rFonts w:ascii="Times New Roman" w:hAnsi="Times New Roman"/>
                <w:color w:val="000000"/>
                <w:sz w:val="28"/>
              </w:rPr>
              <w:t xml:space="preserve">Рынок оказания услуг по перевозке пассажиров автомобильным транспортом по муниципальным маршрутам регулярных перевозок </w:t>
            </w:r>
          </w:p>
        </w:tc>
        <w:tc>
          <w:tcPr>
            <w:tcW w:type="dxa" w:w="6662"/>
            <w:tcBorders>
              <w:top w:color="000000" w:sz="4" w:val="single"/>
              <w:left w:color="000000" w:sz="4" w:val="single"/>
              <w:bottom w:color="000000" w:sz="4" w:val="single"/>
              <w:right w:color="000000" w:sz="4" w:val="single"/>
            </w:tcBorders>
          </w:tcPr>
          <w:p w14:paraId="84010000">
            <w:pPr>
              <w:spacing w:after="0" w:line="240" w:lineRule="auto"/>
              <w:ind/>
              <w:rPr>
                <w:rFonts w:ascii="Times New Roman" w:hAnsi="Times New Roman"/>
                <w:color w:val="000000"/>
                <w:sz w:val="28"/>
              </w:rPr>
            </w:pPr>
            <w:r>
              <w:rPr>
                <w:rFonts w:ascii="Times New Roman" w:hAnsi="Times New Roman"/>
                <w:color w:val="000000"/>
                <w:sz w:val="28"/>
              </w:rPr>
              <w:t>49.31 Деятельность сухопутного пассажирского транспорта: перевозки пассажиров в городском и пригородном сообщении -</w:t>
            </w:r>
            <w:r>
              <w:rPr>
                <w:rFonts w:ascii="Times New Roman" w:hAnsi="Times New Roman"/>
                <w:b w:val="1"/>
                <w:color w:val="000000"/>
                <w:sz w:val="28"/>
              </w:rPr>
              <w:t>28</w:t>
            </w:r>
          </w:p>
        </w:tc>
      </w:tr>
      <w:tr>
        <w:tc>
          <w:tcPr>
            <w:tcW w:type="dxa" w:w="709"/>
            <w:tcBorders>
              <w:top w:color="000000" w:sz="4" w:val="single"/>
              <w:left w:color="000000" w:sz="4" w:val="single"/>
              <w:bottom w:color="000000" w:sz="4" w:val="single"/>
              <w:right w:color="000000" w:sz="4" w:val="single"/>
            </w:tcBorders>
          </w:tcPr>
          <w:p w14:paraId="85010000">
            <w:pPr>
              <w:ind/>
              <w:jc w:val="center"/>
              <w:rPr>
                <w:rFonts w:ascii="Times New Roman" w:hAnsi="Times New Roman"/>
                <w:sz w:val="28"/>
              </w:rPr>
            </w:pPr>
            <w:r>
              <w:rPr>
                <w:rFonts w:ascii="Times New Roman" w:hAnsi="Times New Roman"/>
                <w:sz w:val="28"/>
              </w:rPr>
              <w:t>11.</w:t>
            </w:r>
          </w:p>
        </w:tc>
        <w:tc>
          <w:tcPr>
            <w:tcW w:type="dxa" w:w="2660"/>
            <w:tcBorders>
              <w:top w:color="000000" w:sz="4" w:val="single"/>
              <w:left w:color="000000" w:sz="4" w:val="single"/>
              <w:bottom w:color="000000" w:sz="4" w:val="single"/>
              <w:right w:color="000000" w:sz="4" w:val="single"/>
            </w:tcBorders>
          </w:tcPr>
          <w:p w14:paraId="86010000">
            <w:pPr>
              <w:spacing w:after="0" w:line="240" w:lineRule="auto"/>
              <w:ind/>
              <w:rPr>
                <w:rFonts w:ascii="Times New Roman" w:hAnsi="Times New Roman"/>
                <w:color w:val="000000"/>
                <w:sz w:val="28"/>
              </w:rPr>
            </w:pPr>
            <w:r>
              <w:rPr>
                <w:rFonts w:ascii="Times New Roman" w:hAnsi="Times New Roman"/>
                <w:color w:val="000000"/>
                <w:sz w:val="28"/>
              </w:rPr>
              <w:t xml:space="preserve">Рынок оказания услуг по ремонту автотранспортных средств </w:t>
            </w:r>
          </w:p>
        </w:tc>
        <w:tc>
          <w:tcPr>
            <w:tcW w:type="dxa" w:w="6662"/>
            <w:tcBorders>
              <w:top w:color="000000" w:sz="4" w:val="single"/>
              <w:left w:color="000000" w:sz="4" w:val="single"/>
              <w:bottom w:color="000000" w:sz="4" w:val="single"/>
              <w:right w:color="000000" w:sz="4" w:val="single"/>
            </w:tcBorders>
          </w:tcPr>
          <w:p w14:paraId="87010000">
            <w:pPr>
              <w:spacing w:after="0" w:line="240" w:lineRule="auto"/>
              <w:ind/>
              <w:rPr>
                <w:rFonts w:ascii="Times New Roman" w:hAnsi="Times New Roman"/>
                <w:color w:val="000000"/>
                <w:sz w:val="28"/>
              </w:rPr>
            </w:pPr>
            <w:r>
              <w:rPr>
                <w:rFonts w:ascii="Times New Roman" w:hAnsi="Times New Roman"/>
                <w:color w:val="000000"/>
                <w:sz w:val="28"/>
              </w:rPr>
              <w:t>45.20 Техническое обслуживание и ремонт автотранспортных средств -</w:t>
            </w:r>
            <w:r>
              <w:rPr>
                <w:rFonts w:ascii="Times New Roman" w:hAnsi="Times New Roman"/>
                <w:b w:val="1"/>
                <w:color w:val="000000"/>
                <w:sz w:val="28"/>
              </w:rPr>
              <w:t>122</w:t>
            </w:r>
          </w:p>
        </w:tc>
      </w:tr>
    </w:tbl>
    <w:p w14:paraId="88010000"/>
    <w:p w14:paraId="89010000">
      <w:pPr>
        <w:pStyle w:val="Style_11"/>
        <w:spacing w:line="276" w:lineRule="auto"/>
        <w:ind w:firstLine="709" w:left="0"/>
        <w:jc w:val="both"/>
        <w:rPr>
          <w:sz w:val="28"/>
        </w:rPr>
      </w:pPr>
      <w:r>
        <w:rPr>
          <w:sz w:val="28"/>
        </w:rPr>
        <w:t xml:space="preserve">С целью оценки конкурентной среды на рынках товаров, работ и услуг города </w:t>
      </w:r>
      <w:r>
        <w:rPr>
          <w:sz w:val="28"/>
        </w:rPr>
        <w:t>Волгодонска</w:t>
      </w:r>
      <w:r>
        <w:rPr>
          <w:sz w:val="28"/>
        </w:rPr>
        <w:t xml:space="preserve"> был проведен опрос представителей бизнеса. </w:t>
      </w:r>
    </w:p>
    <w:p w14:paraId="8A010000">
      <w:pPr>
        <w:pStyle w:val="Style_11"/>
        <w:spacing w:line="276" w:lineRule="auto"/>
        <w:ind w:firstLine="709" w:left="0"/>
        <w:jc w:val="both"/>
        <w:rPr>
          <w:color w:val="000000"/>
          <w:sz w:val="28"/>
        </w:rPr>
      </w:pPr>
      <w:r>
        <w:rPr>
          <w:sz w:val="28"/>
        </w:rPr>
        <w:t xml:space="preserve">В опросе приняли участие </w:t>
      </w:r>
      <w:r>
        <w:rPr>
          <w:sz w:val="28"/>
        </w:rPr>
        <w:t>324</w:t>
      </w:r>
      <w:r>
        <w:rPr>
          <w:sz w:val="28"/>
        </w:rPr>
        <w:t xml:space="preserve"> субъект</w:t>
      </w:r>
      <w:r>
        <w:rPr>
          <w:sz w:val="28"/>
        </w:rPr>
        <w:t>а</w:t>
      </w:r>
      <w:r>
        <w:rPr>
          <w:sz w:val="28"/>
        </w:rPr>
        <w:t xml:space="preserve"> предпринимательской деятельности, осуществляющих свою де</w:t>
      </w:r>
      <w:r>
        <w:rPr>
          <w:sz w:val="28"/>
        </w:rPr>
        <w:t xml:space="preserve">ятельность на территории города (даре респонденты). Их них 74% </w:t>
      </w:r>
      <w:r>
        <w:rPr>
          <w:color w:val="000000"/>
          <w:sz w:val="28"/>
        </w:rPr>
        <w:t xml:space="preserve">являются индивидуальными предпринимателями, а </w:t>
      </w:r>
      <w:r>
        <w:rPr>
          <w:color w:val="000000"/>
          <w:sz w:val="28"/>
        </w:rPr>
        <w:t>26</w:t>
      </w:r>
      <w:r>
        <w:rPr>
          <w:color w:val="000000"/>
          <w:sz w:val="28"/>
        </w:rPr>
        <w:t>% – это юридические лица (рисунок 1.</w:t>
      </w:r>
      <w:r>
        <w:rPr>
          <w:color w:val="000000"/>
          <w:sz w:val="28"/>
        </w:rPr>
        <w:t>1</w:t>
      </w:r>
      <w:r>
        <w:rPr>
          <w:color w:val="000000"/>
          <w:sz w:val="28"/>
        </w:rPr>
        <w:t>).</w:t>
      </w:r>
    </w:p>
    <w:p w14:paraId="8B010000">
      <w:pPr>
        <w:pStyle w:val="Style_11"/>
        <w:spacing w:line="276" w:lineRule="auto"/>
        <w:ind w:firstLine="709" w:left="0"/>
        <w:jc w:val="both"/>
        <w:rPr>
          <w:sz w:val="28"/>
        </w:rPr>
      </w:pPr>
      <w:r>
        <w:rPr>
          <w:sz w:val="28"/>
        </w:rPr>
        <w:t xml:space="preserve">Респондентам было предложено заполнить анкету со следующими вопросами: </w:t>
      </w:r>
    </w:p>
    <w:p w14:paraId="8C010000">
      <w:pPr>
        <w:pStyle w:val="Style_11"/>
        <w:spacing w:line="276" w:lineRule="auto"/>
        <w:ind w:firstLine="709" w:left="0"/>
        <w:jc w:val="both"/>
        <w:rPr>
          <w:sz w:val="28"/>
        </w:rPr>
      </w:pPr>
      <w:r>
        <w:rPr>
          <w:sz w:val="28"/>
        </w:rPr>
        <w:t>-</w:t>
      </w:r>
      <w:r>
        <w:rPr>
          <w:sz w:val="28"/>
        </w:rPr>
        <w:t xml:space="preserve">оценка бизнесом состояния и развития конкурентной среды; </w:t>
      </w:r>
    </w:p>
    <w:p w14:paraId="8D010000">
      <w:pPr>
        <w:pStyle w:val="Style_11"/>
        <w:spacing w:line="276" w:lineRule="auto"/>
        <w:ind w:firstLine="709" w:left="0"/>
        <w:jc w:val="both"/>
        <w:rPr>
          <w:sz w:val="28"/>
        </w:rPr>
      </w:pPr>
      <w:r>
        <w:rPr>
          <w:sz w:val="28"/>
        </w:rPr>
        <w:t xml:space="preserve">- </w:t>
      </w:r>
      <w:r>
        <w:rPr>
          <w:sz w:val="28"/>
        </w:rPr>
        <w:t xml:space="preserve">направления работы по развитию конкуренции среди субъектов предпринимательской деятельности в городе; </w:t>
      </w:r>
    </w:p>
    <w:p w14:paraId="8E010000">
      <w:pPr>
        <w:pStyle w:val="Style_11"/>
        <w:spacing w:line="276" w:lineRule="auto"/>
        <w:ind w:firstLine="709" w:left="0"/>
        <w:jc w:val="both"/>
        <w:rPr>
          <w:sz w:val="28"/>
        </w:rPr>
      </w:pPr>
      <w:r>
        <w:rPr>
          <w:sz w:val="28"/>
        </w:rPr>
        <w:t xml:space="preserve">- </w:t>
      </w:r>
      <w:r>
        <w:rPr>
          <w:sz w:val="28"/>
        </w:rPr>
        <w:t xml:space="preserve">оценка барьеров ведения предпринимательской деятельности; </w:t>
      </w:r>
    </w:p>
    <w:p w14:paraId="8F010000">
      <w:pPr>
        <w:pStyle w:val="Style_11"/>
        <w:spacing w:line="276" w:lineRule="auto"/>
        <w:ind w:firstLine="709" w:left="0"/>
        <w:jc w:val="both"/>
        <w:rPr>
          <w:sz w:val="28"/>
        </w:rPr>
      </w:pPr>
      <w:r>
        <w:rPr>
          <w:sz w:val="28"/>
        </w:rPr>
        <w:t xml:space="preserve">- </w:t>
      </w:r>
      <w:r>
        <w:rPr>
          <w:sz w:val="28"/>
        </w:rPr>
        <w:t xml:space="preserve">оценка услуг субъектов естественных монополий. </w:t>
      </w:r>
    </w:p>
    <w:p w14:paraId="90010000">
      <w:pPr>
        <w:pStyle w:val="Style_11"/>
        <w:spacing w:line="276" w:lineRule="auto"/>
        <w:ind/>
        <w:jc w:val="center"/>
        <w:rPr>
          <w:color w:val="000000"/>
          <w:sz w:val="28"/>
        </w:rPr>
      </w:pPr>
      <w:r>
        <w:rPr>
          <w:color w:val="000000"/>
          <w:sz w:val="28"/>
        </w:rPr>
        <w:drawing>
          <wp:inline>
            <wp:extent cx="5802249" cy="2562606"/>
            <wp:docPr hidden="false" id="2" name="Picture 2"/>
            <a:graphic>
              <a:graphicData uri="http://schemas.openxmlformats.org/drawingml/2006/picture">
                <pic:pic>
                  <pic:nvPicPr>
                    <pic:cNvPr hidden="false" id="1" name="Picture 1"/>
                    <pic:cNvPicPr preferRelativeResize="true"/>
                  </pic:nvPicPr>
                  <pic:blipFill>
                    <a:blip r:embed="rId4"/>
                    <a:srcRect b="0" l="0" r="0" t="0"/>
                    <a:stretch/>
                  </pic:blipFill>
                  <pic:spPr>
                    <a:xfrm flipH="false" flipV="false" rot="0">
                      <a:ext cx="5802249" cy="2562606"/>
                    </a:xfrm>
                    <a:prstGeom prst="rect"/>
                  </pic:spPr>
                </pic:pic>
              </a:graphicData>
            </a:graphic>
          </wp:inline>
        </w:drawing>
      </w:r>
    </w:p>
    <w:p w14:paraId="91010000">
      <w:pPr>
        <w:pStyle w:val="Style_11"/>
        <w:spacing w:line="276" w:lineRule="auto"/>
        <w:ind/>
        <w:jc w:val="center"/>
        <w:rPr>
          <w:color w:val="000000"/>
          <w:sz w:val="20"/>
        </w:rPr>
      </w:pPr>
      <w:r>
        <w:rPr>
          <w:color w:val="000000"/>
          <w:sz w:val="20"/>
        </w:rPr>
        <w:t>Рисунок 1.</w:t>
      </w:r>
      <w:r>
        <w:rPr>
          <w:color w:val="000000"/>
          <w:sz w:val="20"/>
        </w:rPr>
        <w:t>1</w:t>
      </w:r>
      <w:r>
        <w:rPr>
          <w:sz w:val="20"/>
        </w:rPr>
        <w:t xml:space="preserve"> </w:t>
      </w:r>
      <w:r>
        <w:rPr>
          <w:color w:val="000000"/>
          <w:sz w:val="20"/>
        </w:rPr>
        <w:t xml:space="preserve">Распределение </w:t>
      </w:r>
      <w:r>
        <w:rPr>
          <w:color w:val="000000"/>
          <w:sz w:val="20"/>
        </w:rPr>
        <w:t xml:space="preserve">респондентов </w:t>
      </w:r>
      <w:r>
        <w:rPr>
          <w:color w:val="000000"/>
          <w:sz w:val="20"/>
        </w:rPr>
        <w:t>по форме осуществления</w:t>
      </w:r>
      <w:r>
        <w:rPr>
          <w:color w:val="000000"/>
          <w:sz w:val="20"/>
        </w:rPr>
        <w:t xml:space="preserve"> </w:t>
      </w:r>
      <w:r>
        <w:rPr>
          <w:color w:val="000000"/>
          <w:sz w:val="20"/>
        </w:rPr>
        <w:t xml:space="preserve"> предпринимательской деятельности</w:t>
      </w:r>
      <w:r>
        <w:rPr>
          <w:sz w:val="20"/>
        </w:rPr>
        <w:t>, % к опрошенным</w:t>
      </w:r>
    </w:p>
    <w:p w14:paraId="92010000">
      <w:pPr>
        <w:pStyle w:val="Style_11"/>
        <w:spacing w:line="276" w:lineRule="auto"/>
        <w:ind w:firstLine="709" w:left="0"/>
        <w:jc w:val="both"/>
        <w:rPr>
          <w:color w:val="000000"/>
          <w:sz w:val="28"/>
        </w:rPr>
      </w:pPr>
    </w:p>
    <w:p w14:paraId="93010000">
      <w:pPr>
        <w:pStyle w:val="Style_11"/>
        <w:spacing w:line="276" w:lineRule="auto"/>
        <w:ind w:firstLine="709" w:left="0"/>
        <w:jc w:val="both"/>
        <w:rPr>
          <w:color w:val="000000"/>
          <w:sz w:val="28"/>
        </w:rPr>
      </w:pPr>
      <w:r>
        <w:rPr>
          <w:color w:val="000000"/>
          <w:sz w:val="28"/>
        </w:rPr>
        <w:t xml:space="preserve">Среди опрощенных </w:t>
      </w:r>
      <w:r>
        <w:rPr>
          <w:color w:val="000000"/>
          <w:sz w:val="28"/>
        </w:rPr>
        <w:t>71</w:t>
      </w:r>
      <w:r>
        <w:rPr>
          <w:color w:val="000000"/>
          <w:sz w:val="28"/>
        </w:rPr>
        <w:t xml:space="preserve">% субъектов предпринимательской деятельности действуют на рынке более 5 лет; </w:t>
      </w:r>
      <w:r>
        <w:rPr>
          <w:color w:val="000000"/>
          <w:sz w:val="28"/>
        </w:rPr>
        <w:t>10</w:t>
      </w:r>
      <w:r>
        <w:rPr>
          <w:color w:val="000000"/>
          <w:sz w:val="28"/>
        </w:rPr>
        <w:t xml:space="preserve">% </w:t>
      </w:r>
      <w:r>
        <w:rPr>
          <w:color w:val="000000"/>
          <w:sz w:val="28"/>
        </w:rPr>
        <w:t>предпринимателей</w:t>
      </w:r>
      <w:r>
        <w:rPr>
          <w:color w:val="000000"/>
          <w:sz w:val="28"/>
        </w:rPr>
        <w:t xml:space="preserve"> осуществляют деятельность от 3 до 5 лет; </w:t>
      </w:r>
      <w:r>
        <w:rPr>
          <w:color w:val="000000"/>
          <w:sz w:val="28"/>
        </w:rPr>
        <w:t>12</w:t>
      </w:r>
      <w:r>
        <w:rPr>
          <w:color w:val="000000"/>
          <w:sz w:val="28"/>
        </w:rPr>
        <w:t>% ведут бизнес на протяжении 1-3 лет и мене</w:t>
      </w:r>
      <w:r>
        <w:rPr>
          <w:color w:val="000000"/>
          <w:sz w:val="28"/>
        </w:rPr>
        <w:t>е</w:t>
      </w:r>
      <w:r>
        <w:rPr>
          <w:color w:val="000000"/>
          <w:sz w:val="28"/>
        </w:rPr>
        <w:t xml:space="preserve"> одного года – </w:t>
      </w:r>
      <w:r>
        <w:rPr>
          <w:color w:val="000000"/>
          <w:sz w:val="28"/>
        </w:rPr>
        <w:t>8</w:t>
      </w:r>
      <w:r>
        <w:rPr>
          <w:color w:val="000000"/>
          <w:sz w:val="28"/>
        </w:rPr>
        <w:t xml:space="preserve">% (рисунок </w:t>
      </w:r>
      <w:r>
        <w:rPr>
          <w:color w:val="000000"/>
          <w:sz w:val="28"/>
        </w:rPr>
        <w:t>1.</w:t>
      </w:r>
      <w:r>
        <w:rPr>
          <w:color w:val="000000"/>
          <w:sz w:val="28"/>
        </w:rPr>
        <w:t xml:space="preserve">2.). </w:t>
      </w:r>
    </w:p>
    <w:p w14:paraId="94010000">
      <w:pPr>
        <w:pStyle w:val="Style_11"/>
        <w:spacing w:line="276" w:lineRule="auto"/>
        <w:ind/>
        <w:jc w:val="center"/>
        <w:rPr>
          <w:color w:val="000000"/>
          <w:sz w:val="28"/>
        </w:rPr>
      </w:pPr>
      <w:r>
        <w:rPr>
          <w:color w:val="000000"/>
          <w:sz w:val="28"/>
        </w:rPr>
        <w:drawing>
          <wp:inline>
            <wp:extent cx="5793105" cy="2781427"/>
            <wp:docPr hidden="false" id="4" name="Picture 4"/>
            <a:graphic>
              <a:graphicData uri="http://schemas.openxmlformats.org/drawingml/2006/picture">
                <pic:pic>
                  <pic:nvPicPr>
                    <pic:cNvPr hidden="false" id="3" name="Picture 3"/>
                    <pic:cNvPicPr preferRelativeResize="true"/>
                  </pic:nvPicPr>
                  <pic:blipFill>
                    <a:blip r:embed="rId5"/>
                    <a:srcRect b="0" l="0" r="0" t="0"/>
                    <a:stretch/>
                  </pic:blipFill>
                  <pic:spPr>
                    <a:xfrm flipH="false" flipV="false" rot="0">
                      <a:ext cx="5793105" cy="2781427"/>
                    </a:xfrm>
                    <a:prstGeom prst="rect"/>
                  </pic:spPr>
                </pic:pic>
              </a:graphicData>
            </a:graphic>
          </wp:inline>
        </w:drawing>
      </w:r>
    </w:p>
    <w:p w14:paraId="95010000">
      <w:pPr>
        <w:pStyle w:val="Style_11"/>
        <w:spacing w:line="276" w:lineRule="auto"/>
        <w:ind/>
        <w:jc w:val="center"/>
        <w:rPr>
          <w:sz w:val="20"/>
        </w:rPr>
      </w:pPr>
      <w:r>
        <w:rPr>
          <w:color w:val="000000"/>
          <w:sz w:val="20"/>
        </w:rPr>
        <w:t xml:space="preserve">Рисунок </w:t>
      </w:r>
      <w:r>
        <w:rPr>
          <w:color w:val="000000"/>
          <w:sz w:val="20"/>
        </w:rPr>
        <w:t>1.</w:t>
      </w:r>
      <w:r>
        <w:rPr>
          <w:color w:val="000000"/>
          <w:sz w:val="20"/>
        </w:rPr>
        <w:t>2.</w:t>
      </w:r>
      <w:r>
        <w:rPr>
          <w:sz w:val="20"/>
        </w:rPr>
        <w:t xml:space="preserve"> </w:t>
      </w:r>
      <w:r>
        <w:rPr>
          <w:color w:val="000000"/>
          <w:sz w:val="20"/>
        </w:rPr>
        <w:t xml:space="preserve">Распределение </w:t>
      </w:r>
      <w:r>
        <w:rPr>
          <w:color w:val="000000"/>
          <w:sz w:val="20"/>
        </w:rPr>
        <w:t xml:space="preserve">респондентов </w:t>
      </w:r>
      <w:r>
        <w:rPr>
          <w:color w:val="000000"/>
          <w:sz w:val="20"/>
        </w:rPr>
        <w:t xml:space="preserve">по времени осуществления </w:t>
      </w:r>
      <w:r>
        <w:rPr>
          <w:color w:val="000000"/>
          <w:sz w:val="20"/>
        </w:rPr>
        <w:t xml:space="preserve"> </w:t>
      </w:r>
      <w:r>
        <w:rPr>
          <w:color w:val="000000"/>
          <w:sz w:val="20"/>
        </w:rPr>
        <w:t>предпринимательской деятельности</w:t>
      </w:r>
      <w:r>
        <w:rPr>
          <w:sz w:val="20"/>
        </w:rPr>
        <w:t>, % к опрошенным</w:t>
      </w:r>
    </w:p>
    <w:p w14:paraId="96010000">
      <w:pPr>
        <w:pStyle w:val="Style_11"/>
        <w:spacing w:line="276" w:lineRule="auto"/>
        <w:ind w:firstLine="709" w:left="0"/>
        <w:jc w:val="both"/>
        <w:rPr>
          <w:color w:val="000000"/>
          <w:sz w:val="28"/>
        </w:rPr>
      </w:pPr>
      <w:r>
        <w:rPr>
          <w:color w:val="000000"/>
          <w:sz w:val="28"/>
        </w:rPr>
        <w:t>Преимущественное большинство респондентов (</w:t>
      </w:r>
      <w:r>
        <w:rPr>
          <w:color w:val="000000"/>
          <w:sz w:val="28"/>
        </w:rPr>
        <w:t>86</w:t>
      </w:r>
      <w:r>
        <w:rPr>
          <w:color w:val="000000"/>
          <w:sz w:val="28"/>
        </w:rPr>
        <w:t xml:space="preserve">%) </w:t>
      </w:r>
      <w:r>
        <w:rPr>
          <w:color w:val="000000"/>
          <w:sz w:val="28"/>
        </w:rPr>
        <w:t xml:space="preserve">- собственники бизнеса, </w:t>
      </w:r>
      <w:r>
        <w:rPr>
          <w:color w:val="000000"/>
          <w:sz w:val="28"/>
        </w:rPr>
        <w:t xml:space="preserve">руководители высшего </w:t>
      </w:r>
      <w:r>
        <w:rPr>
          <w:color w:val="000000"/>
          <w:sz w:val="28"/>
        </w:rPr>
        <w:t xml:space="preserve">звена </w:t>
      </w:r>
      <w:r>
        <w:rPr>
          <w:color w:val="000000"/>
          <w:sz w:val="28"/>
        </w:rPr>
        <w:t xml:space="preserve">составили </w:t>
      </w:r>
      <w:r>
        <w:rPr>
          <w:color w:val="000000"/>
          <w:sz w:val="28"/>
        </w:rPr>
        <w:t>12</w:t>
      </w:r>
      <w:r>
        <w:rPr>
          <w:color w:val="000000"/>
          <w:sz w:val="28"/>
        </w:rPr>
        <w:t>%</w:t>
      </w:r>
      <w:r>
        <w:rPr>
          <w:color w:val="000000"/>
          <w:sz w:val="28"/>
        </w:rPr>
        <w:t xml:space="preserve">, на </w:t>
      </w:r>
      <w:r>
        <w:rPr>
          <w:color w:val="000000"/>
          <w:sz w:val="28"/>
        </w:rPr>
        <w:t>не</w:t>
      </w:r>
      <w:r>
        <w:rPr>
          <w:color w:val="000000"/>
          <w:sz w:val="28"/>
        </w:rPr>
        <w:t xml:space="preserve"> </w:t>
      </w:r>
      <w:r>
        <w:rPr>
          <w:color w:val="000000"/>
          <w:sz w:val="28"/>
        </w:rPr>
        <w:t xml:space="preserve">руководящих сотрудников пришлось </w:t>
      </w:r>
      <w:r>
        <w:rPr>
          <w:color w:val="000000"/>
          <w:sz w:val="28"/>
        </w:rPr>
        <w:t>2</w:t>
      </w:r>
      <w:r>
        <w:rPr>
          <w:color w:val="000000"/>
          <w:sz w:val="28"/>
        </w:rPr>
        <w:t xml:space="preserve">% опрошенных (рисунок </w:t>
      </w:r>
      <w:r>
        <w:rPr>
          <w:color w:val="000000"/>
          <w:sz w:val="28"/>
        </w:rPr>
        <w:t>1.</w:t>
      </w:r>
      <w:r>
        <w:rPr>
          <w:color w:val="000000"/>
          <w:sz w:val="28"/>
        </w:rPr>
        <w:t xml:space="preserve">3.). </w:t>
      </w:r>
    </w:p>
    <w:p w14:paraId="97010000">
      <w:pPr>
        <w:pStyle w:val="Style_11"/>
        <w:spacing w:line="276" w:lineRule="auto"/>
        <w:ind w:firstLine="284" w:left="0"/>
        <w:jc w:val="both"/>
        <w:rPr>
          <w:color w:val="000000"/>
          <w:sz w:val="28"/>
        </w:rPr>
      </w:pPr>
      <w:r>
        <w:rPr>
          <w:color w:val="000000"/>
          <w:sz w:val="28"/>
        </w:rPr>
        <w:drawing>
          <wp:inline>
            <wp:extent cx="5751830" cy="2543302"/>
            <wp:docPr hidden="false" id="6" name="Picture 6"/>
            <a:graphic>
              <a:graphicData uri="http://schemas.openxmlformats.org/drawingml/2006/picture">
                <pic:pic>
                  <pic:nvPicPr>
                    <pic:cNvPr hidden="false" id="5" name="Picture 5"/>
                    <pic:cNvPicPr preferRelativeResize="true"/>
                  </pic:nvPicPr>
                  <pic:blipFill>
                    <a:blip r:embed="rId6"/>
                    <a:srcRect b="0" l="0" r="0" t="0"/>
                    <a:stretch/>
                  </pic:blipFill>
                  <pic:spPr>
                    <a:xfrm flipH="false" flipV="false" rot="0">
                      <a:ext cx="5751830" cy="2543302"/>
                    </a:xfrm>
                    <a:prstGeom prst="rect"/>
                  </pic:spPr>
                </pic:pic>
              </a:graphicData>
            </a:graphic>
          </wp:inline>
        </w:drawing>
      </w:r>
    </w:p>
    <w:p w14:paraId="98010000">
      <w:pPr>
        <w:pStyle w:val="Style_11"/>
        <w:spacing w:line="276" w:lineRule="auto"/>
        <w:ind/>
        <w:jc w:val="center"/>
        <w:rPr>
          <w:sz w:val="20"/>
        </w:rPr>
      </w:pPr>
      <w:r>
        <w:rPr>
          <w:color w:val="000000"/>
          <w:sz w:val="20"/>
        </w:rPr>
        <w:t xml:space="preserve">Рисунок </w:t>
      </w:r>
      <w:r>
        <w:rPr>
          <w:color w:val="000000"/>
          <w:sz w:val="20"/>
        </w:rPr>
        <w:t>1.</w:t>
      </w:r>
      <w:r>
        <w:rPr>
          <w:color w:val="000000"/>
          <w:sz w:val="20"/>
        </w:rPr>
        <w:t>3.</w:t>
      </w:r>
      <w:r>
        <w:rPr>
          <w:sz w:val="20"/>
        </w:rPr>
        <w:t xml:space="preserve"> </w:t>
      </w:r>
      <w:r>
        <w:rPr>
          <w:color w:val="000000"/>
          <w:sz w:val="20"/>
        </w:rPr>
        <w:t>Распределение респондентов по занимаемым должностям</w:t>
      </w:r>
      <w:r>
        <w:rPr>
          <w:sz w:val="20"/>
        </w:rPr>
        <w:t>, % к опрошенным</w:t>
      </w:r>
    </w:p>
    <w:p w14:paraId="99010000">
      <w:pPr>
        <w:pStyle w:val="Style_11"/>
        <w:spacing w:line="276" w:lineRule="auto"/>
        <w:ind w:firstLine="709" w:left="0"/>
        <w:jc w:val="both"/>
        <w:rPr>
          <w:sz w:val="28"/>
        </w:rPr>
      </w:pPr>
      <w:r>
        <w:rPr>
          <w:sz w:val="28"/>
        </w:rPr>
        <w:t>Годом ранее в опросе принимали участие также в большей мере собственники бизнеса (</w:t>
      </w:r>
      <w:r>
        <w:rPr>
          <w:sz w:val="28"/>
        </w:rPr>
        <w:t>83</w:t>
      </w:r>
      <w:r>
        <w:rPr>
          <w:sz w:val="28"/>
        </w:rPr>
        <w:t xml:space="preserve">%), руководители высшего звена составили </w:t>
      </w:r>
      <w:r>
        <w:rPr>
          <w:sz w:val="28"/>
        </w:rPr>
        <w:t>14</w:t>
      </w:r>
      <w:r>
        <w:rPr>
          <w:sz w:val="28"/>
        </w:rPr>
        <w:t>%</w:t>
      </w:r>
      <w:r>
        <w:rPr>
          <w:sz w:val="28"/>
        </w:rPr>
        <w:t>, на не руководящих сотрудников приходилось 3%.</w:t>
      </w:r>
    </w:p>
    <w:p w14:paraId="9A010000">
      <w:pPr>
        <w:pStyle w:val="Style_11"/>
        <w:spacing w:line="276" w:lineRule="auto"/>
        <w:ind w:firstLine="708" w:left="0"/>
        <w:jc w:val="both"/>
        <w:rPr>
          <w:sz w:val="28"/>
        </w:rPr>
      </w:pPr>
      <w:r>
        <w:rPr>
          <w:sz w:val="28"/>
        </w:rPr>
        <w:t>По величине годового оборота бизнеса ответы респондентов распределились следующим образом</w:t>
      </w:r>
      <w:r>
        <w:rPr>
          <w:sz w:val="28"/>
        </w:rPr>
        <w:t xml:space="preserve"> (рисунок 1.4)</w:t>
      </w:r>
      <w:r>
        <w:rPr>
          <w:sz w:val="28"/>
        </w:rPr>
        <w:t>:</w:t>
      </w:r>
    </w:p>
    <w:p w14:paraId="9B01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 xml:space="preserve">до 120 миллионов рублей (микропредприятие) – </w:t>
      </w:r>
      <w:r>
        <w:rPr>
          <w:rFonts w:ascii="Times New Roman" w:hAnsi="Times New Roman"/>
          <w:color w:val="000000"/>
          <w:sz w:val="28"/>
        </w:rPr>
        <w:t>76%;</w:t>
      </w:r>
    </w:p>
    <w:p w14:paraId="9C01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 xml:space="preserve">от 120 до 800 миллионов рублей (малое предприятие) – </w:t>
      </w:r>
      <w:r>
        <w:rPr>
          <w:rFonts w:ascii="Times New Roman" w:hAnsi="Times New Roman"/>
          <w:color w:val="000000"/>
          <w:sz w:val="28"/>
        </w:rPr>
        <w:t>23</w:t>
      </w:r>
      <w:r>
        <w:rPr>
          <w:rFonts w:ascii="Times New Roman" w:hAnsi="Times New Roman"/>
          <w:color w:val="000000"/>
          <w:sz w:val="28"/>
        </w:rPr>
        <w:t>%</w:t>
      </w:r>
      <w:r>
        <w:rPr>
          <w:rFonts w:ascii="Times New Roman" w:hAnsi="Times New Roman"/>
          <w:color w:val="000000"/>
          <w:sz w:val="28"/>
        </w:rPr>
        <w:t>;</w:t>
      </w:r>
    </w:p>
    <w:p w14:paraId="9D01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 xml:space="preserve">от 800 до 2000 миллионов рублей (среднее предприятие) –  также </w:t>
      </w:r>
      <w:r>
        <w:rPr>
          <w:rFonts w:ascii="Times New Roman" w:hAnsi="Times New Roman"/>
          <w:color w:val="000000"/>
          <w:sz w:val="28"/>
        </w:rPr>
        <w:t>1</w:t>
      </w:r>
      <w:r>
        <w:rPr>
          <w:rFonts w:ascii="Times New Roman" w:hAnsi="Times New Roman"/>
          <w:color w:val="000000"/>
          <w:sz w:val="28"/>
        </w:rPr>
        <w:t>%</w:t>
      </w:r>
      <w:r>
        <w:rPr>
          <w:rFonts w:ascii="Times New Roman" w:hAnsi="Times New Roman"/>
          <w:color w:val="000000"/>
          <w:sz w:val="28"/>
        </w:rPr>
        <w:t xml:space="preserve">. </w:t>
      </w:r>
    </w:p>
    <w:p w14:paraId="9E010000">
      <w:pPr>
        <w:pStyle w:val="Style_11"/>
        <w:spacing w:line="276" w:lineRule="auto"/>
        <w:ind w:firstLine="284" w:left="0"/>
        <w:jc w:val="both"/>
        <w:rPr>
          <w:color w:val="000000"/>
          <w:sz w:val="28"/>
        </w:rPr>
      </w:pPr>
      <w:r>
        <w:rPr>
          <w:color w:val="000000"/>
          <w:sz w:val="28"/>
        </w:rPr>
        <w:drawing>
          <wp:inline>
            <wp:extent cx="5743321" cy="2734310"/>
            <wp:docPr hidden="false" id="8" name="Picture 8"/>
            <a:graphic>
              <a:graphicData uri="http://schemas.openxmlformats.org/drawingml/2006/picture">
                <pic:pic>
                  <pic:nvPicPr>
                    <pic:cNvPr hidden="false" id="7" name="Picture 7"/>
                    <pic:cNvPicPr preferRelativeResize="true"/>
                  </pic:nvPicPr>
                  <pic:blipFill>
                    <a:blip r:embed="rId7"/>
                    <a:srcRect b="0" l="0" r="0" t="0"/>
                    <a:stretch/>
                  </pic:blipFill>
                  <pic:spPr>
                    <a:xfrm flipH="false" flipV="false" rot="0">
                      <a:ext cx="5743321" cy="2734310"/>
                    </a:xfrm>
                    <a:prstGeom prst="rect"/>
                  </pic:spPr>
                </pic:pic>
              </a:graphicData>
            </a:graphic>
          </wp:inline>
        </w:drawing>
      </w:r>
    </w:p>
    <w:p w14:paraId="9F010000">
      <w:pPr>
        <w:pStyle w:val="Style_11"/>
        <w:spacing w:line="276" w:lineRule="auto"/>
        <w:ind/>
        <w:jc w:val="center"/>
        <w:rPr>
          <w:color w:val="000000"/>
          <w:sz w:val="20"/>
        </w:rPr>
      </w:pPr>
      <w:r>
        <w:rPr>
          <w:color w:val="000000"/>
          <w:sz w:val="20"/>
        </w:rPr>
        <w:t xml:space="preserve">Рисунок </w:t>
      </w:r>
      <w:r>
        <w:rPr>
          <w:color w:val="000000"/>
          <w:sz w:val="20"/>
        </w:rPr>
        <w:t>1</w:t>
      </w:r>
      <w:r>
        <w:rPr>
          <w:color w:val="000000"/>
          <w:sz w:val="20"/>
        </w:rPr>
        <w:t>.4</w:t>
      </w:r>
      <w:r>
        <w:rPr>
          <w:color w:val="000000"/>
          <w:sz w:val="20"/>
        </w:rPr>
        <w:t>.</w:t>
      </w:r>
      <w:r>
        <w:rPr>
          <w:sz w:val="20"/>
        </w:rPr>
        <w:t xml:space="preserve"> </w:t>
      </w:r>
      <w:r>
        <w:rPr>
          <w:color w:val="000000"/>
          <w:sz w:val="20"/>
        </w:rPr>
        <w:t xml:space="preserve">Распределение </w:t>
      </w:r>
      <w:r>
        <w:rPr>
          <w:color w:val="000000"/>
          <w:sz w:val="20"/>
        </w:rPr>
        <w:t>респондентов</w:t>
      </w:r>
      <w:r>
        <w:rPr>
          <w:color w:val="000000"/>
          <w:sz w:val="20"/>
        </w:rPr>
        <w:t xml:space="preserve"> по величине годового оборота бизнеса</w:t>
      </w:r>
      <w:r>
        <w:rPr>
          <w:sz w:val="20"/>
        </w:rPr>
        <w:t>, % к опрошенным</w:t>
      </w:r>
    </w:p>
    <w:p w14:paraId="A0010000">
      <w:pPr>
        <w:pStyle w:val="Style_11"/>
        <w:spacing w:line="276" w:lineRule="auto"/>
        <w:ind w:firstLine="708" w:left="0"/>
        <w:jc w:val="both"/>
        <w:rPr>
          <w:color w:val="000000"/>
          <w:sz w:val="18"/>
        </w:rPr>
      </w:pPr>
    </w:p>
    <w:p w14:paraId="A101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Основную часть респондентов в 20</w:t>
      </w:r>
      <w:r>
        <w:rPr>
          <w:rFonts w:ascii="Times New Roman" w:hAnsi="Times New Roman"/>
          <w:color w:val="000000"/>
          <w:sz w:val="28"/>
        </w:rPr>
        <w:t>21</w:t>
      </w:r>
      <w:r>
        <w:rPr>
          <w:rFonts w:ascii="Times New Roman" w:hAnsi="Times New Roman"/>
          <w:color w:val="000000"/>
          <w:sz w:val="28"/>
        </w:rPr>
        <w:t xml:space="preserve"> году представляют предприятия с числом работающих до 15 человек (</w:t>
      </w:r>
      <w:r>
        <w:rPr>
          <w:rFonts w:ascii="Times New Roman" w:hAnsi="Times New Roman"/>
          <w:color w:val="000000"/>
          <w:sz w:val="28"/>
        </w:rPr>
        <w:t>83</w:t>
      </w:r>
      <w:r>
        <w:rPr>
          <w:rFonts w:ascii="Times New Roman" w:hAnsi="Times New Roman"/>
          <w:color w:val="000000"/>
          <w:sz w:val="28"/>
        </w:rPr>
        <w:t xml:space="preserve">%). Количество респондентов с численностью штатных сотрудников от 16 до 100 человек составило </w:t>
      </w:r>
      <w:r>
        <w:rPr>
          <w:rFonts w:ascii="Times New Roman" w:hAnsi="Times New Roman"/>
          <w:color w:val="000000"/>
          <w:sz w:val="28"/>
        </w:rPr>
        <w:t>15</w:t>
      </w:r>
      <w:r>
        <w:rPr>
          <w:rFonts w:ascii="Times New Roman" w:hAnsi="Times New Roman"/>
          <w:color w:val="000000"/>
          <w:sz w:val="28"/>
        </w:rPr>
        <w:t xml:space="preserve">%; от 101 до 250 – </w:t>
      </w:r>
      <w:r>
        <w:rPr>
          <w:rFonts w:ascii="Times New Roman" w:hAnsi="Times New Roman"/>
          <w:color w:val="000000"/>
          <w:sz w:val="28"/>
        </w:rPr>
        <w:t>2</w:t>
      </w:r>
      <w:r>
        <w:rPr>
          <w:rFonts w:ascii="Times New Roman" w:hAnsi="Times New Roman"/>
          <w:color w:val="000000"/>
          <w:sz w:val="28"/>
        </w:rPr>
        <w:t xml:space="preserve">%. Среди опрошенных отсутствуют организации с численностью от 251 до 1000 человек и выше </w:t>
      </w:r>
      <w:r>
        <w:rPr>
          <w:rFonts w:ascii="Times New Roman" w:hAnsi="Times New Roman"/>
          <w:color w:val="000000"/>
          <w:sz w:val="28"/>
        </w:rPr>
        <w:t>(рисунок 1.5.)</w:t>
      </w:r>
      <w:r>
        <w:rPr>
          <w:rFonts w:ascii="Times New Roman" w:hAnsi="Times New Roman"/>
          <w:color w:val="000000"/>
          <w:sz w:val="28"/>
        </w:rPr>
        <w:t xml:space="preserve"> </w:t>
      </w:r>
    </w:p>
    <w:p w14:paraId="A2010000">
      <w:pPr>
        <w:pStyle w:val="Style_11"/>
        <w:spacing w:line="276" w:lineRule="auto"/>
        <w:ind/>
        <w:jc w:val="center"/>
        <w:rPr>
          <w:color w:val="000000"/>
          <w:sz w:val="28"/>
        </w:rPr>
      </w:pPr>
      <w:r>
        <w:rPr>
          <w:color w:val="000000"/>
          <w:sz w:val="28"/>
        </w:rPr>
        <w:drawing>
          <wp:inline>
            <wp:extent cx="5742559" cy="2713863"/>
            <wp:docPr hidden="false" id="10" name="Picture 10"/>
            <a:graphic>
              <a:graphicData uri="http://schemas.openxmlformats.org/drawingml/2006/picture">
                <pic:pic>
                  <pic:nvPicPr>
                    <pic:cNvPr hidden="false" id="9" name="Picture 9"/>
                    <pic:cNvPicPr preferRelativeResize="true"/>
                  </pic:nvPicPr>
                  <pic:blipFill>
                    <a:blip r:embed="rId8"/>
                    <a:srcRect b="0" l="0" r="0" t="0"/>
                    <a:stretch/>
                  </pic:blipFill>
                  <pic:spPr>
                    <a:xfrm flipH="false" flipV="false" rot="0">
                      <a:ext cx="5742559" cy="2713863"/>
                    </a:xfrm>
                    <a:prstGeom prst="rect"/>
                  </pic:spPr>
                </pic:pic>
              </a:graphicData>
            </a:graphic>
          </wp:inline>
        </w:drawing>
      </w:r>
    </w:p>
    <w:p w14:paraId="A3010000">
      <w:pPr>
        <w:pStyle w:val="Style_11"/>
        <w:spacing w:line="276" w:lineRule="auto"/>
        <w:ind/>
        <w:jc w:val="center"/>
        <w:rPr>
          <w:color w:val="000000"/>
          <w:sz w:val="20"/>
        </w:rPr>
      </w:pPr>
      <w:r>
        <w:rPr>
          <w:color w:val="000000"/>
          <w:sz w:val="20"/>
        </w:rPr>
        <w:t xml:space="preserve">Рисунок </w:t>
      </w:r>
      <w:r>
        <w:rPr>
          <w:color w:val="000000"/>
          <w:sz w:val="20"/>
        </w:rPr>
        <w:t>1.5</w:t>
      </w:r>
      <w:r>
        <w:rPr>
          <w:color w:val="000000"/>
          <w:sz w:val="20"/>
        </w:rPr>
        <w:t>.</w:t>
      </w:r>
      <w:r>
        <w:rPr>
          <w:sz w:val="20"/>
        </w:rPr>
        <w:t xml:space="preserve"> </w:t>
      </w:r>
      <w:r>
        <w:rPr>
          <w:color w:val="000000"/>
          <w:sz w:val="20"/>
        </w:rPr>
        <w:t xml:space="preserve">Распределение </w:t>
      </w:r>
      <w:r>
        <w:rPr>
          <w:color w:val="000000"/>
          <w:sz w:val="20"/>
        </w:rPr>
        <w:t>респондентов</w:t>
      </w:r>
      <w:r>
        <w:rPr>
          <w:color w:val="000000"/>
          <w:sz w:val="20"/>
        </w:rPr>
        <w:t xml:space="preserve"> по численности сотрудников организации</w:t>
      </w:r>
      <w:r>
        <w:rPr>
          <w:sz w:val="20"/>
        </w:rPr>
        <w:t>, % к опрошенным</w:t>
      </w:r>
    </w:p>
    <w:p w14:paraId="A4010000">
      <w:pPr>
        <w:pStyle w:val="Style_11"/>
        <w:spacing w:line="276" w:lineRule="auto"/>
        <w:ind w:firstLine="851" w:left="0"/>
        <w:jc w:val="both"/>
        <w:rPr>
          <w:color w:val="000000"/>
          <w:sz w:val="28"/>
        </w:rPr>
      </w:pPr>
      <w:r>
        <w:rPr>
          <w:color w:val="000000"/>
          <w:sz w:val="28"/>
        </w:rPr>
        <w:t>Можно сделать вывод о том, что из всех представителей бизнеса, принявших участие в опросе в 20</w:t>
      </w:r>
      <w:r>
        <w:rPr>
          <w:color w:val="000000"/>
          <w:sz w:val="28"/>
        </w:rPr>
        <w:t>21</w:t>
      </w:r>
      <w:r>
        <w:rPr>
          <w:color w:val="000000"/>
          <w:sz w:val="28"/>
        </w:rPr>
        <w:t xml:space="preserve"> году, превалируют микропредприятия с численностью сотрудников до 15 человек и величиной годового оборота не более 120 млн. рублей. </w:t>
      </w:r>
    </w:p>
    <w:p w14:paraId="A5010000">
      <w:pPr>
        <w:pStyle w:val="Style_11"/>
        <w:spacing w:line="276" w:lineRule="auto"/>
        <w:ind w:firstLine="851" w:left="0"/>
        <w:jc w:val="both"/>
        <w:rPr>
          <w:color w:val="000000"/>
          <w:sz w:val="28"/>
        </w:rPr>
      </w:pPr>
      <w:r>
        <w:rPr>
          <w:color w:val="000000"/>
          <w:sz w:val="28"/>
        </w:rPr>
        <w:t>Большинство респондентов (</w:t>
      </w:r>
      <w:r>
        <w:rPr>
          <w:color w:val="000000"/>
          <w:sz w:val="28"/>
        </w:rPr>
        <w:t>72</w:t>
      </w:r>
      <w:r>
        <w:rPr>
          <w:color w:val="000000"/>
          <w:sz w:val="28"/>
        </w:rPr>
        <w:t>%), заявило, что их бизнес осуществляет торговлю или дистрибуцию товаров и услуг, произведенных другими компаниями</w:t>
      </w:r>
      <w:r>
        <w:rPr>
          <w:color w:val="000000"/>
          <w:sz w:val="28"/>
        </w:rPr>
        <w:t>;</w:t>
      </w:r>
      <w:r>
        <w:rPr>
          <w:color w:val="000000"/>
          <w:sz w:val="28"/>
        </w:rPr>
        <w:t xml:space="preserve"> </w:t>
      </w:r>
      <w:r>
        <w:rPr>
          <w:color w:val="000000"/>
          <w:sz w:val="28"/>
        </w:rPr>
        <w:t>18</w:t>
      </w:r>
      <w:r>
        <w:rPr>
          <w:color w:val="000000"/>
          <w:sz w:val="28"/>
        </w:rPr>
        <w:t xml:space="preserve">% </w:t>
      </w:r>
      <w:r>
        <w:rPr>
          <w:color w:val="000000"/>
          <w:sz w:val="28"/>
        </w:rPr>
        <w:t>производит конечную продукцию</w:t>
      </w:r>
      <w:r>
        <w:rPr>
          <w:color w:val="000000"/>
          <w:sz w:val="28"/>
        </w:rPr>
        <w:t>, 4</w:t>
      </w:r>
      <w:r>
        <w:rPr>
          <w:color w:val="000000"/>
          <w:sz w:val="28"/>
        </w:rPr>
        <w:t>% промежуточную продукцию относительно рынка сбыта (сырье, материалы, компоненты, которые будут использоваться для переработки, обработки, доработки другими организациями, а также для производства конечной продукции)</w:t>
      </w:r>
      <w:r>
        <w:rPr>
          <w:color w:val="000000"/>
          <w:sz w:val="28"/>
        </w:rPr>
        <w:t xml:space="preserve">, 6% </w:t>
      </w:r>
      <w:r>
        <w:rPr>
          <w:color w:val="000000"/>
          <w:sz w:val="28"/>
        </w:rPr>
        <w:t xml:space="preserve">предоставляет услуги (рисунок </w:t>
      </w:r>
      <w:r>
        <w:rPr>
          <w:color w:val="000000"/>
          <w:sz w:val="28"/>
        </w:rPr>
        <w:t>1.</w:t>
      </w:r>
      <w:r>
        <w:rPr>
          <w:color w:val="000000"/>
          <w:sz w:val="28"/>
        </w:rPr>
        <w:t xml:space="preserve">6). </w:t>
      </w:r>
    </w:p>
    <w:p w14:paraId="A6010000">
      <w:pPr>
        <w:pStyle w:val="Style_11"/>
        <w:spacing w:line="276" w:lineRule="auto"/>
        <w:ind w:firstLine="426" w:left="0"/>
        <w:jc w:val="both"/>
        <w:rPr>
          <w:color w:val="000000"/>
          <w:sz w:val="28"/>
        </w:rPr>
      </w:pPr>
      <w:r>
        <w:rPr>
          <w:color w:val="000000"/>
          <w:sz w:val="28"/>
        </w:rPr>
        <w:drawing>
          <wp:inline>
            <wp:extent cx="5742559" cy="2133600"/>
            <wp:docPr hidden="false" id="12" name="Picture 12"/>
            <a:graphic>
              <a:graphicData uri="http://schemas.openxmlformats.org/drawingml/2006/picture">
                <pic:pic>
                  <pic:nvPicPr>
                    <pic:cNvPr hidden="false" id="11" name="Picture 11"/>
                    <pic:cNvPicPr preferRelativeResize="true"/>
                  </pic:nvPicPr>
                  <pic:blipFill>
                    <a:blip r:embed="rId9"/>
                    <a:srcRect b="0" l="0" r="0" t="0"/>
                    <a:stretch/>
                  </pic:blipFill>
                  <pic:spPr>
                    <a:xfrm flipH="false" flipV="false" rot="0">
                      <a:ext cx="5742559" cy="2133600"/>
                    </a:xfrm>
                    <a:prstGeom prst="rect"/>
                  </pic:spPr>
                </pic:pic>
              </a:graphicData>
            </a:graphic>
          </wp:inline>
        </w:drawing>
      </w:r>
    </w:p>
    <w:p w14:paraId="A7010000">
      <w:pPr>
        <w:pStyle w:val="Style_11"/>
        <w:spacing w:line="276" w:lineRule="auto"/>
        <w:ind/>
        <w:jc w:val="center"/>
        <w:rPr>
          <w:color w:val="000000"/>
          <w:sz w:val="20"/>
        </w:rPr>
      </w:pPr>
      <w:r>
        <w:rPr>
          <w:color w:val="000000"/>
          <w:sz w:val="20"/>
        </w:rPr>
        <w:t xml:space="preserve">Рисунок </w:t>
      </w:r>
      <w:r>
        <w:rPr>
          <w:color w:val="000000"/>
          <w:sz w:val="20"/>
        </w:rPr>
        <w:t>1.</w:t>
      </w:r>
      <w:r>
        <w:rPr>
          <w:color w:val="000000"/>
          <w:sz w:val="20"/>
        </w:rPr>
        <w:t>6.</w:t>
      </w:r>
      <w:r>
        <w:rPr>
          <w:sz w:val="20"/>
        </w:rPr>
        <w:t xml:space="preserve"> </w:t>
      </w:r>
      <w:r>
        <w:rPr>
          <w:color w:val="000000"/>
          <w:sz w:val="20"/>
        </w:rPr>
        <w:t xml:space="preserve">Распределение </w:t>
      </w:r>
      <w:r>
        <w:rPr>
          <w:color w:val="000000"/>
          <w:sz w:val="20"/>
        </w:rPr>
        <w:t>респондентов</w:t>
      </w:r>
      <w:r>
        <w:rPr>
          <w:color w:val="000000"/>
          <w:sz w:val="20"/>
        </w:rPr>
        <w:t xml:space="preserve"> </w:t>
      </w:r>
      <w:r>
        <w:rPr>
          <w:color w:val="000000"/>
          <w:sz w:val="20"/>
        </w:rPr>
        <w:t xml:space="preserve"> по основной производимой продукции (товару, работе, услуге), % к опрошенным</w:t>
      </w:r>
    </w:p>
    <w:p w14:paraId="A8010000">
      <w:pPr>
        <w:pStyle w:val="Style_11"/>
        <w:tabs>
          <w:tab w:leader="none" w:pos="4820" w:val="left"/>
        </w:tabs>
        <w:spacing w:line="276" w:lineRule="auto"/>
        <w:ind w:firstLine="709" w:left="0"/>
        <w:jc w:val="both"/>
        <w:rPr>
          <w:color w:val="000000"/>
          <w:sz w:val="28"/>
        </w:rPr>
      </w:pPr>
      <w:r>
        <w:rPr>
          <w:color w:val="000000"/>
          <w:sz w:val="28"/>
        </w:rPr>
        <w:t>Предпринимательская деятельность респондентов охватила следующие виды экономической деятельности</w:t>
      </w:r>
      <w:r>
        <w:rPr>
          <w:color w:val="000000"/>
          <w:sz w:val="28"/>
        </w:rPr>
        <w:t xml:space="preserve">  т</w:t>
      </w:r>
      <w:r>
        <w:rPr>
          <w:color w:val="000000"/>
          <w:sz w:val="28"/>
        </w:rPr>
        <w:t>орговля розничная</w:t>
      </w:r>
      <w:r>
        <w:rPr>
          <w:color w:val="000000"/>
          <w:sz w:val="28"/>
        </w:rPr>
        <w:t>,  д</w:t>
      </w:r>
      <w:r>
        <w:rPr>
          <w:color w:val="000000"/>
          <w:sz w:val="28"/>
        </w:rPr>
        <w:t>еятельность гостиниц и предприятий общественного питания</w:t>
      </w:r>
      <w:r>
        <w:rPr>
          <w:color w:val="000000"/>
          <w:sz w:val="28"/>
        </w:rPr>
        <w:t>, п</w:t>
      </w:r>
      <w:r>
        <w:rPr>
          <w:color w:val="000000"/>
          <w:sz w:val="28"/>
        </w:rPr>
        <w:t xml:space="preserve">редоставление прочих видов услуг </w:t>
      </w:r>
      <w:r>
        <w:rPr>
          <w:color w:val="000000"/>
          <w:sz w:val="28"/>
        </w:rPr>
        <w:t>, д</w:t>
      </w:r>
      <w:r>
        <w:rPr>
          <w:color w:val="000000"/>
          <w:sz w:val="28"/>
        </w:rPr>
        <w:t>еятельность в области здравоохранен</w:t>
      </w:r>
      <w:r>
        <w:rPr>
          <w:color w:val="000000"/>
          <w:sz w:val="28"/>
        </w:rPr>
        <w:t>ия и социальных услуг, о</w:t>
      </w:r>
      <w:r>
        <w:rPr>
          <w:color w:val="000000"/>
          <w:sz w:val="28"/>
        </w:rPr>
        <w:t>бработка древесины и</w:t>
      </w:r>
      <w:r>
        <w:rPr>
          <w:color w:val="000000"/>
          <w:sz w:val="28"/>
        </w:rPr>
        <w:t xml:space="preserve"> производство изделий из дерева, производство мебели,  р</w:t>
      </w:r>
      <w:r>
        <w:rPr>
          <w:color w:val="000000"/>
          <w:sz w:val="28"/>
        </w:rPr>
        <w:t>астениеводство и животноводство, охота (сельхозтоваропроизводитель)</w:t>
      </w:r>
      <w:r>
        <w:rPr>
          <w:color w:val="000000"/>
          <w:sz w:val="28"/>
        </w:rPr>
        <w:t>, п</w:t>
      </w:r>
      <w:r>
        <w:rPr>
          <w:color w:val="000000"/>
          <w:sz w:val="28"/>
        </w:rPr>
        <w:t>роизводство химических веществ и химических продуктов (удобрения, газ</w:t>
      </w:r>
      <w:r>
        <w:rPr>
          <w:color w:val="000000"/>
          <w:sz w:val="28"/>
        </w:rPr>
        <w:t>ы, пигменты и т.д.), с</w:t>
      </w:r>
      <w:r>
        <w:rPr>
          <w:color w:val="000000"/>
          <w:sz w:val="28"/>
        </w:rPr>
        <w:t>троительство (зданий, инженерных сооружений, работы строительные специализированные)</w:t>
      </w:r>
      <w:r>
        <w:rPr>
          <w:color w:val="000000"/>
          <w:sz w:val="28"/>
        </w:rPr>
        <w:t xml:space="preserve"> </w:t>
      </w:r>
      <w:r>
        <w:rPr>
          <w:color w:val="000000"/>
          <w:sz w:val="28"/>
        </w:rPr>
        <w:t xml:space="preserve">(рисунок </w:t>
      </w:r>
      <w:r>
        <w:rPr>
          <w:color w:val="000000"/>
          <w:sz w:val="28"/>
        </w:rPr>
        <w:t>1.</w:t>
      </w:r>
      <w:r>
        <w:rPr>
          <w:color w:val="000000"/>
          <w:sz w:val="28"/>
        </w:rPr>
        <w:t>7</w:t>
      </w:r>
      <w:r>
        <w:rPr>
          <w:color w:val="000000"/>
          <w:sz w:val="28"/>
        </w:rPr>
        <w:t>.</w:t>
      </w:r>
      <w:r>
        <w:rPr>
          <w:color w:val="000000"/>
          <w:sz w:val="28"/>
        </w:rPr>
        <w:t>).</w:t>
      </w:r>
    </w:p>
    <w:p w14:paraId="A9010000">
      <w:pPr>
        <w:pStyle w:val="Style_11"/>
        <w:spacing w:line="276" w:lineRule="auto"/>
        <w:ind/>
        <w:jc w:val="center"/>
        <w:rPr>
          <w:color w:val="000000"/>
          <w:sz w:val="28"/>
        </w:rPr>
      </w:pPr>
      <w:r>
        <w:rPr>
          <w:color w:val="000000"/>
          <w:sz w:val="28"/>
        </w:rPr>
        <w:drawing>
          <wp:inline>
            <wp:extent cx="6169660" cy="2686304"/>
            <wp:docPr hidden="false" id="14" name="Picture 14"/>
            <a:graphic>
              <a:graphicData uri="http://schemas.openxmlformats.org/drawingml/2006/picture">
                <pic:pic>
                  <pic:nvPicPr>
                    <pic:cNvPr hidden="false" id="13" name="Picture 13"/>
                    <pic:cNvPicPr preferRelativeResize="true"/>
                  </pic:nvPicPr>
                  <pic:blipFill>
                    <a:blip r:embed="rId10"/>
                    <a:srcRect b="-15" l="0" r="0" t="0"/>
                    <a:stretch/>
                  </pic:blipFill>
                  <pic:spPr>
                    <a:xfrm flipH="false" flipV="false" rot="0">
                      <a:ext cx="6169660" cy="2686304"/>
                    </a:xfrm>
                    <a:prstGeom prst="rect"/>
                  </pic:spPr>
                </pic:pic>
              </a:graphicData>
            </a:graphic>
          </wp:inline>
        </w:drawing>
      </w:r>
    </w:p>
    <w:p w14:paraId="AA010000">
      <w:pPr>
        <w:pStyle w:val="Style_11"/>
        <w:spacing w:line="276" w:lineRule="auto"/>
        <w:ind w:firstLine="709" w:left="0"/>
        <w:jc w:val="center"/>
        <w:rPr>
          <w:color w:val="000000"/>
          <w:sz w:val="20"/>
        </w:rPr>
      </w:pPr>
      <w:r>
        <w:rPr>
          <w:color w:val="000000"/>
          <w:sz w:val="20"/>
        </w:rPr>
        <w:t xml:space="preserve">Рисунок </w:t>
      </w:r>
      <w:r>
        <w:rPr>
          <w:color w:val="000000"/>
          <w:sz w:val="20"/>
        </w:rPr>
        <w:t>1.</w:t>
      </w:r>
      <w:r>
        <w:rPr>
          <w:color w:val="000000"/>
          <w:sz w:val="20"/>
        </w:rPr>
        <w:t>7.</w:t>
      </w:r>
      <w:r>
        <w:rPr>
          <w:sz w:val="20"/>
        </w:rPr>
        <w:t xml:space="preserve"> </w:t>
      </w:r>
      <w:r>
        <w:rPr>
          <w:color w:val="000000"/>
          <w:sz w:val="20"/>
        </w:rPr>
        <w:t xml:space="preserve">Распределение </w:t>
      </w:r>
      <w:r>
        <w:rPr>
          <w:color w:val="000000"/>
          <w:sz w:val="20"/>
        </w:rPr>
        <w:t xml:space="preserve">респондентов </w:t>
      </w:r>
      <w:r>
        <w:rPr>
          <w:color w:val="000000"/>
          <w:sz w:val="20"/>
        </w:rPr>
        <w:t xml:space="preserve"> </w:t>
      </w:r>
      <w:r>
        <w:rPr>
          <w:color w:val="000000"/>
          <w:sz w:val="20"/>
        </w:rPr>
        <w:t>по основным видам деятельности, % к опрошенным</w:t>
      </w:r>
    </w:p>
    <w:p w14:paraId="AB010000">
      <w:pPr>
        <w:pStyle w:val="Style_11"/>
        <w:spacing w:line="276" w:lineRule="auto"/>
        <w:ind w:firstLine="709" w:left="0"/>
        <w:jc w:val="both"/>
        <w:rPr>
          <w:color w:val="000000"/>
          <w:sz w:val="28"/>
        </w:rPr>
      </w:pPr>
      <w:r>
        <w:rPr>
          <w:color w:val="000000"/>
          <w:sz w:val="28"/>
        </w:rPr>
        <w:t xml:space="preserve">Таким образом, по информации респондентов, на территории </w:t>
      </w:r>
      <w:r>
        <w:rPr>
          <w:color w:val="000000"/>
          <w:sz w:val="28"/>
        </w:rPr>
        <w:t>города Волгодонска</w:t>
      </w:r>
      <w:r>
        <w:rPr>
          <w:color w:val="000000"/>
          <w:sz w:val="28"/>
        </w:rPr>
        <w:t xml:space="preserve"> большинство организаций, участвовавших в опросе, занимаются розничной торговлей продовольственными и непродовольственными товарами населению, </w:t>
      </w:r>
      <w:r>
        <w:rPr>
          <w:color w:val="000000"/>
          <w:sz w:val="28"/>
        </w:rPr>
        <w:t xml:space="preserve">осуществляют деятельность гостиниц и предприятий общественного питания, </w:t>
      </w:r>
      <w:r>
        <w:rPr>
          <w:color w:val="000000"/>
          <w:sz w:val="28"/>
        </w:rPr>
        <w:t>предоставляют прочие вид</w:t>
      </w:r>
      <w:r>
        <w:rPr>
          <w:color w:val="000000"/>
          <w:sz w:val="28"/>
        </w:rPr>
        <w:t>ы услуг</w:t>
      </w:r>
      <w:r>
        <w:rPr>
          <w:color w:val="000000"/>
          <w:sz w:val="28"/>
        </w:rPr>
        <w:t>.</w:t>
      </w:r>
    </w:p>
    <w:p w14:paraId="AC010000">
      <w:pPr>
        <w:pStyle w:val="Style_11"/>
        <w:spacing w:line="276" w:lineRule="auto"/>
        <w:ind w:firstLine="709" w:left="0"/>
        <w:jc w:val="both"/>
        <w:rPr>
          <w:sz w:val="28"/>
        </w:rPr>
      </w:pPr>
      <w:r>
        <w:rPr>
          <w:color w:val="000000"/>
          <w:sz w:val="28"/>
        </w:rPr>
        <w:t>Опрос респондентов о географических рынках, представляемых бизнесом, показал, что основным рынком сбыта продукции (товаров, работ, услуг) в большей степени случаев (</w:t>
      </w:r>
      <w:r>
        <w:rPr>
          <w:color w:val="000000"/>
          <w:sz w:val="28"/>
        </w:rPr>
        <w:t>78</w:t>
      </w:r>
      <w:r>
        <w:rPr>
          <w:color w:val="000000"/>
          <w:sz w:val="28"/>
        </w:rPr>
        <w:t>%) является локальный рынок</w:t>
      </w:r>
      <w:r>
        <w:rPr>
          <w:color w:val="000000"/>
          <w:sz w:val="28"/>
        </w:rPr>
        <w:t>, то есть рынок города Волгодонска</w:t>
      </w:r>
      <w:r>
        <w:rPr>
          <w:color w:val="000000"/>
          <w:sz w:val="28"/>
        </w:rPr>
        <w:t xml:space="preserve"> </w:t>
      </w:r>
      <w:r>
        <w:rPr>
          <w:sz w:val="28"/>
        </w:rPr>
        <w:t xml:space="preserve">(рисунок </w:t>
      </w:r>
      <w:r>
        <w:rPr>
          <w:sz w:val="28"/>
        </w:rPr>
        <w:t>1.</w:t>
      </w:r>
      <w:r>
        <w:rPr>
          <w:sz w:val="28"/>
        </w:rPr>
        <w:t xml:space="preserve">8). </w:t>
      </w:r>
    </w:p>
    <w:p w14:paraId="AD010000">
      <w:pPr>
        <w:pStyle w:val="Style_11"/>
        <w:spacing w:line="276" w:lineRule="auto"/>
        <w:ind w:firstLine="709" w:left="0"/>
        <w:jc w:val="both"/>
        <w:rPr>
          <w:sz w:val="28"/>
        </w:rPr>
      </w:pPr>
      <w:r>
        <w:rPr>
          <w:sz w:val="28"/>
        </w:rPr>
        <w:t xml:space="preserve">При этом сбыт </w:t>
      </w:r>
      <w:r>
        <w:rPr>
          <w:color w:val="000000"/>
          <w:sz w:val="28"/>
        </w:rPr>
        <w:t xml:space="preserve">продукции (товаров, работ, услуг) </w:t>
      </w:r>
      <w:r>
        <w:rPr>
          <w:sz w:val="28"/>
        </w:rPr>
        <w:t xml:space="preserve">на рынке Ростовской области составляет – </w:t>
      </w:r>
      <w:r>
        <w:rPr>
          <w:sz w:val="28"/>
        </w:rPr>
        <w:t>21</w:t>
      </w:r>
      <w:r>
        <w:rPr>
          <w:sz w:val="28"/>
        </w:rPr>
        <w:t xml:space="preserve">%, на рынках нескольких субъектов Российской Федерации – </w:t>
      </w:r>
      <w:r>
        <w:rPr>
          <w:sz w:val="28"/>
        </w:rPr>
        <w:t>1</w:t>
      </w:r>
      <w:r>
        <w:rPr>
          <w:sz w:val="28"/>
        </w:rPr>
        <w:t>%</w:t>
      </w:r>
      <w:r>
        <w:rPr>
          <w:sz w:val="28"/>
        </w:rPr>
        <w:t xml:space="preserve">. Опрошенные респонденты продукцию на рынки </w:t>
      </w:r>
      <w:r>
        <w:rPr>
          <w:sz w:val="28"/>
        </w:rPr>
        <w:t>зарубежных стран</w:t>
      </w:r>
      <w:r>
        <w:rPr>
          <w:sz w:val="28"/>
        </w:rPr>
        <w:t xml:space="preserve"> не предоставляют.</w:t>
      </w:r>
    </w:p>
    <w:p w14:paraId="AE010000">
      <w:pPr>
        <w:spacing w:after="0"/>
        <w:ind/>
        <w:jc w:val="center"/>
        <w:rPr>
          <w:rFonts w:ascii="Times New Roman" w:hAnsi="Times New Roman"/>
          <w:sz w:val="18"/>
        </w:rPr>
      </w:pPr>
      <w:r>
        <w:rPr>
          <w:rFonts w:ascii="Times New Roman" w:hAnsi="Times New Roman"/>
          <w:sz w:val="18"/>
        </w:rPr>
        <w:drawing>
          <wp:inline>
            <wp:extent cx="5866511" cy="2199640"/>
            <wp:docPr hidden="false" id="16" name="Picture 16"/>
            <a:graphic>
              <a:graphicData uri="http://schemas.openxmlformats.org/drawingml/2006/picture">
                <pic:pic>
                  <pic:nvPicPr>
                    <pic:cNvPr hidden="false" id="15" name="Picture 15"/>
                    <pic:cNvPicPr preferRelativeResize="true"/>
                  </pic:nvPicPr>
                  <pic:blipFill>
                    <a:blip r:embed="rId11"/>
                    <a:srcRect b="0" l="0" r="0" t="0"/>
                    <a:stretch/>
                  </pic:blipFill>
                  <pic:spPr>
                    <a:xfrm flipH="false" flipV="false" rot="0">
                      <a:ext cx="5866511" cy="2199640"/>
                    </a:xfrm>
                    <a:prstGeom prst="rect"/>
                  </pic:spPr>
                </pic:pic>
              </a:graphicData>
            </a:graphic>
          </wp:inline>
        </w:drawing>
      </w:r>
    </w:p>
    <w:p w14:paraId="AF010000">
      <w:pPr>
        <w:spacing w:after="0"/>
        <w:ind/>
        <w:jc w:val="center"/>
        <w:rPr>
          <w:rFonts w:ascii="Times New Roman" w:hAnsi="Times New Roman"/>
          <w:sz w:val="20"/>
        </w:rPr>
      </w:pPr>
      <w:r>
        <w:rPr>
          <w:rFonts w:ascii="Times New Roman" w:hAnsi="Times New Roman"/>
          <w:sz w:val="20"/>
        </w:rPr>
        <w:t xml:space="preserve">Рисунок </w:t>
      </w:r>
      <w:r>
        <w:rPr>
          <w:rFonts w:ascii="Times New Roman" w:hAnsi="Times New Roman"/>
          <w:sz w:val="20"/>
        </w:rPr>
        <w:t>1.</w:t>
      </w:r>
      <w:r>
        <w:rPr>
          <w:rFonts w:ascii="Times New Roman" w:hAnsi="Times New Roman"/>
          <w:sz w:val="20"/>
        </w:rPr>
        <w:t>8.</w:t>
      </w:r>
      <w:r>
        <w:rPr>
          <w:rFonts w:ascii="Times New Roman" w:hAnsi="Times New Roman"/>
          <w:sz w:val="20"/>
        </w:rPr>
        <w:t xml:space="preserve"> </w:t>
      </w:r>
      <w:r>
        <w:rPr>
          <w:rFonts w:ascii="Times New Roman" w:hAnsi="Times New Roman"/>
          <w:sz w:val="20"/>
        </w:rPr>
        <w:t xml:space="preserve">Распределение </w:t>
      </w:r>
      <w:r>
        <w:rPr>
          <w:rFonts w:ascii="Times New Roman" w:hAnsi="Times New Roman"/>
          <w:sz w:val="20"/>
        </w:rPr>
        <w:t>респондентов</w:t>
      </w:r>
      <w:r>
        <w:rPr>
          <w:rFonts w:ascii="Times New Roman" w:hAnsi="Times New Roman"/>
          <w:sz w:val="20"/>
        </w:rPr>
        <w:t xml:space="preserve"> </w:t>
      </w:r>
      <w:r>
        <w:rPr>
          <w:rFonts w:ascii="Times New Roman" w:hAnsi="Times New Roman"/>
          <w:sz w:val="20"/>
        </w:rPr>
        <w:t xml:space="preserve"> по географическим рынкам, % к опрошенным</w:t>
      </w:r>
    </w:p>
    <w:p w14:paraId="B0010000">
      <w:pPr>
        <w:pStyle w:val="Style_12"/>
        <w:spacing w:before="0"/>
        <w:ind/>
        <w:jc w:val="center"/>
        <w:rPr>
          <w:rFonts w:ascii="Times New Roman" w:hAnsi="Times New Roman"/>
          <w:color w:val="000000"/>
          <w:sz w:val="28"/>
        </w:rPr>
      </w:pPr>
      <w:r>
        <w:rPr>
          <w:rFonts w:ascii="Times New Roman" w:hAnsi="Times New Roman"/>
          <w:color w:val="000000"/>
          <w:sz w:val="28"/>
        </w:rPr>
        <w:t>Оценка состояния и развития конкурентной среды</w:t>
      </w:r>
    </w:p>
    <w:p w14:paraId="B1010000">
      <w:pPr>
        <w:pStyle w:val="Style_13"/>
        <w:spacing w:line="276" w:lineRule="auto"/>
        <w:ind w:firstLine="709" w:left="0"/>
        <w:jc w:val="both"/>
        <w:rPr>
          <w:rFonts w:ascii="Times New Roman" w:hAnsi="Times New Roman"/>
          <w:sz w:val="28"/>
        </w:rPr>
      </w:pPr>
      <w:r>
        <w:rPr>
          <w:rFonts w:ascii="Times New Roman" w:hAnsi="Times New Roman"/>
          <w:sz w:val="28"/>
        </w:rPr>
        <w:t xml:space="preserve">Количество </w:t>
      </w:r>
      <w:r>
        <w:rPr>
          <w:rFonts w:ascii="Times New Roman" w:hAnsi="Times New Roman"/>
          <w:sz w:val="28"/>
        </w:rPr>
        <w:t xml:space="preserve">конкурентов у субъектов предпринимательской деятельности на основном рынке </w:t>
      </w:r>
      <w:r>
        <w:rPr>
          <w:rFonts w:ascii="Times New Roman" w:hAnsi="Times New Roman"/>
          <w:sz w:val="28"/>
        </w:rPr>
        <w:t>является одним из показателей</w:t>
      </w:r>
      <w:r>
        <w:rPr>
          <w:rFonts w:ascii="Times New Roman" w:hAnsi="Times New Roman"/>
          <w:sz w:val="28"/>
        </w:rPr>
        <w:t xml:space="preserve"> </w:t>
      </w:r>
      <w:r>
        <w:rPr>
          <w:rFonts w:ascii="Times New Roman" w:hAnsi="Times New Roman"/>
          <w:sz w:val="28"/>
        </w:rPr>
        <w:t>успешного ведения</w:t>
      </w:r>
      <w:r>
        <w:rPr>
          <w:rFonts w:ascii="Times New Roman" w:hAnsi="Times New Roman"/>
          <w:sz w:val="28"/>
        </w:rPr>
        <w:t xml:space="preserve"> бизнеса</w:t>
      </w:r>
      <w:r>
        <w:rPr>
          <w:rFonts w:ascii="Times New Roman" w:hAnsi="Times New Roman"/>
          <w:sz w:val="28"/>
        </w:rPr>
        <w:t>.</w:t>
      </w:r>
    </w:p>
    <w:p w14:paraId="B2010000">
      <w:pPr>
        <w:spacing w:after="0" w:line="240" w:lineRule="auto"/>
        <w:ind w:firstLine="709" w:left="0"/>
        <w:jc w:val="both"/>
        <w:rPr>
          <w:rFonts w:ascii="Times New Roman" w:hAnsi="Times New Roman"/>
          <w:sz w:val="28"/>
        </w:rPr>
      </w:pPr>
      <w:r>
        <w:rPr>
          <w:rFonts w:ascii="Times New Roman" w:hAnsi="Times New Roman"/>
          <w:sz w:val="28"/>
        </w:rPr>
        <w:t>В 2021 году 45</w:t>
      </w:r>
      <w:r>
        <w:rPr>
          <w:rFonts w:ascii="Times New Roman" w:hAnsi="Times New Roman"/>
          <w:sz w:val="28"/>
        </w:rPr>
        <w:t>% опрошенных</w:t>
      </w:r>
      <w:r>
        <w:rPr>
          <w:rFonts w:ascii="Times New Roman" w:hAnsi="Times New Roman"/>
          <w:sz w:val="28"/>
        </w:rPr>
        <w:t xml:space="preserve"> отметили наличие</w:t>
      </w:r>
      <w:r>
        <w:rPr>
          <w:rFonts w:ascii="Times New Roman" w:hAnsi="Times New Roman"/>
          <w:sz w:val="28"/>
        </w:rPr>
        <w:t xml:space="preserve"> 1-3 конкурентов</w:t>
      </w:r>
      <w:r>
        <w:rPr>
          <w:rFonts w:ascii="Times New Roman" w:hAnsi="Times New Roman"/>
          <w:sz w:val="28"/>
        </w:rPr>
        <w:t>;</w:t>
      </w:r>
      <w:r>
        <w:rPr>
          <w:rFonts w:ascii="Times New Roman" w:hAnsi="Times New Roman"/>
          <w:sz w:val="28"/>
        </w:rPr>
        <w:t xml:space="preserve"> </w:t>
      </w:r>
      <w:r>
        <w:rPr>
          <w:rFonts w:ascii="Times New Roman" w:hAnsi="Times New Roman"/>
          <w:sz w:val="28"/>
        </w:rPr>
        <w:t>48</w:t>
      </w:r>
      <w:r>
        <w:rPr>
          <w:rFonts w:ascii="Times New Roman" w:hAnsi="Times New Roman"/>
          <w:sz w:val="28"/>
        </w:rPr>
        <w:t>%</w:t>
      </w:r>
      <w:r>
        <w:rPr>
          <w:rFonts w:ascii="Times New Roman" w:hAnsi="Times New Roman"/>
          <w:sz w:val="28"/>
        </w:rPr>
        <w:t xml:space="preserve"> респондентов указали на наличие </w:t>
      </w:r>
      <w:r>
        <w:rPr>
          <w:rFonts w:ascii="Times New Roman" w:hAnsi="Times New Roman"/>
          <w:sz w:val="28"/>
        </w:rPr>
        <w:t>4 и более конкурентов</w:t>
      </w:r>
      <w:r>
        <w:rPr>
          <w:rFonts w:ascii="Times New Roman" w:hAnsi="Times New Roman"/>
          <w:sz w:val="28"/>
        </w:rPr>
        <w:t>; нет конкурентов у 7% опрошенных (в 2020</w:t>
      </w:r>
      <w:r>
        <w:rPr>
          <w:rFonts w:ascii="Times New Roman" w:hAnsi="Times New Roman"/>
          <w:sz w:val="28"/>
        </w:rPr>
        <w:t xml:space="preserve"> году </w:t>
      </w:r>
      <w:r>
        <w:rPr>
          <w:rFonts w:ascii="Times New Roman" w:hAnsi="Times New Roman"/>
          <w:sz w:val="28"/>
        </w:rPr>
        <w:t>51%, 61%,8% соответственно</w:t>
      </w:r>
      <w:r>
        <w:rPr>
          <w:rFonts w:ascii="Times New Roman" w:hAnsi="Times New Roman"/>
          <w:sz w:val="28"/>
        </w:rPr>
        <w:t xml:space="preserve">). </w:t>
      </w:r>
      <w:r>
        <w:rPr>
          <w:rFonts w:ascii="Times New Roman" w:hAnsi="Times New Roman"/>
          <w:sz w:val="28"/>
        </w:rPr>
        <w:t xml:space="preserve">(рисунок </w:t>
      </w:r>
      <w:r>
        <w:rPr>
          <w:rFonts w:ascii="Times New Roman" w:hAnsi="Times New Roman"/>
          <w:sz w:val="28"/>
        </w:rPr>
        <w:t>1.</w:t>
      </w:r>
      <w:r>
        <w:rPr>
          <w:rFonts w:ascii="Times New Roman" w:hAnsi="Times New Roman"/>
          <w:sz w:val="28"/>
        </w:rPr>
        <w:t>9.).</w:t>
      </w:r>
    </w:p>
    <w:p w14:paraId="B3010000">
      <w:pPr>
        <w:spacing w:after="0" w:line="240" w:lineRule="auto"/>
        <w:ind w:firstLine="709" w:left="0"/>
        <w:jc w:val="both"/>
        <w:rPr>
          <w:rFonts w:ascii="Times New Roman" w:hAnsi="Times New Roman"/>
          <w:sz w:val="28"/>
        </w:rPr>
      </w:pPr>
      <w:r>
        <w:rPr>
          <w:rFonts w:ascii="Times New Roman" w:hAnsi="Times New Roman"/>
          <w:sz w:val="28"/>
        </w:rPr>
        <w:drawing>
          <wp:inline>
            <wp:extent cx="5696712" cy="2106168"/>
            <wp:docPr hidden="false" id="18" name="Picture 18"/>
            <a:graphic>
              <a:graphicData uri="http://schemas.openxmlformats.org/drawingml/2006/picture">
                <pic:pic>
                  <pic:nvPicPr>
                    <pic:cNvPr hidden="false" id="17" name="Picture 17"/>
                    <pic:cNvPicPr preferRelativeResize="true"/>
                  </pic:nvPicPr>
                  <pic:blipFill>
                    <a:blip r:embed="rId12"/>
                    <a:srcRect b="0" l="0" r="0" t="0"/>
                    <a:stretch/>
                  </pic:blipFill>
                  <pic:spPr>
                    <a:xfrm flipH="false" flipV="false" rot="0">
                      <a:ext cx="5696712" cy="2106168"/>
                    </a:xfrm>
                    <a:prstGeom prst="rect"/>
                  </pic:spPr>
                </pic:pic>
              </a:graphicData>
            </a:graphic>
          </wp:inline>
        </w:drawing>
      </w:r>
    </w:p>
    <w:p w14:paraId="B4010000">
      <w:pPr>
        <w:spacing w:after="0"/>
        <w:ind/>
        <w:jc w:val="center"/>
        <w:rPr>
          <w:rFonts w:ascii="Times New Roman" w:hAnsi="Times New Roman"/>
          <w:sz w:val="20"/>
        </w:rPr>
      </w:pPr>
      <w:r>
        <w:rPr>
          <w:rFonts w:ascii="Times New Roman" w:hAnsi="Times New Roman"/>
          <w:sz w:val="20"/>
        </w:rPr>
        <w:t xml:space="preserve">Рисунок </w:t>
      </w:r>
      <w:r>
        <w:rPr>
          <w:rFonts w:ascii="Times New Roman" w:hAnsi="Times New Roman"/>
          <w:sz w:val="20"/>
        </w:rPr>
        <w:t>1.</w:t>
      </w:r>
      <w:r>
        <w:rPr>
          <w:rFonts w:ascii="Times New Roman" w:hAnsi="Times New Roman"/>
          <w:sz w:val="20"/>
        </w:rPr>
        <w:t xml:space="preserve">9. Распределение </w:t>
      </w:r>
      <w:r>
        <w:rPr>
          <w:rFonts w:ascii="Times New Roman" w:hAnsi="Times New Roman"/>
          <w:sz w:val="20"/>
        </w:rPr>
        <w:t>респондентов</w:t>
      </w:r>
      <w:r>
        <w:rPr>
          <w:rFonts w:ascii="Times New Roman" w:hAnsi="Times New Roman"/>
          <w:sz w:val="20"/>
        </w:rPr>
        <w:t xml:space="preserve"> относительно</w:t>
      </w:r>
      <w:r>
        <w:rPr>
          <w:rFonts w:ascii="Times New Roman" w:hAnsi="Times New Roman"/>
          <w:sz w:val="20"/>
        </w:rPr>
        <w:t xml:space="preserve"> </w:t>
      </w:r>
      <w:r>
        <w:rPr>
          <w:rFonts w:ascii="Times New Roman" w:hAnsi="Times New Roman"/>
          <w:sz w:val="20"/>
        </w:rPr>
        <w:t>наличия</w:t>
      </w:r>
    </w:p>
    <w:p w14:paraId="B5010000">
      <w:pPr>
        <w:spacing w:after="0"/>
        <w:ind/>
        <w:jc w:val="center"/>
        <w:rPr>
          <w:rFonts w:ascii="Times New Roman" w:hAnsi="Times New Roman"/>
          <w:sz w:val="20"/>
        </w:rPr>
      </w:pPr>
      <w:r>
        <w:rPr>
          <w:rFonts w:ascii="Times New Roman" w:hAnsi="Times New Roman"/>
          <w:sz w:val="20"/>
        </w:rPr>
        <w:t xml:space="preserve"> количества конкурентов</w:t>
      </w:r>
      <w:r>
        <w:rPr>
          <w:rFonts w:ascii="Times New Roman" w:hAnsi="Times New Roman"/>
          <w:sz w:val="20"/>
        </w:rPr>
        <w:t>, %</w:t>
      </w:r>
    </w:p>
    <w:p w14:paraId="B6010000">
      <w:pPr>
        <w:pStyle w:val="Style_13"/>
        <w:spacing w:line="276" w:lineRule="auto"/>
        <w:ind w:firstLine="709" w:left="0"/>
        <w:jc w:val="both"/>
        <w:rPr>
          <w:rFonts w:ascii="Times New Roman" w:hAnsi="Times New Roman"/>
          <w:sz w:val="28"/>
        </w:rPr>
      </w:pPr>
      <w:r>
        <w:rPr>
          <w:rFonts w:ascii="Times New Roman" w:hAnsi="Times New Roman"/>
          <w:sz w:val="28"/>
        </w:rPr>
        <w:t>Отвечая на вопрос о</w:t>
      </w:r>
      <w:r>
        <w:rPr>
          <w:rFonts w:ascii="Times New Roman" w:hAnsi="Times New Roman"/>
          <w:sz w:val="28"/>
        </w:rPr>
        <w:t xml:space="preserve">б изменении </w:t>
      </w:r>
      <w:r>
        <w:rPr>
          <w:rFonts w:ascii="Times New Roman" w:hAnsi="Times New Roman"/>
          <w:sz w:val="28"/>
        </w:rPr>
        <w:t>количеств</w:t>
      </w:r>
      <w:r>
        <w:rPr>
          <w:rFonts w:ascii="Times New Roman" w:hAnsi="Times New Roman"/>
          <w:sz w:val="28"/>
        </w:rPr>
        <w:t>а</w:t>
      </w:r>
      <w:r>
        <w:rPr>
          <w:rFonts w:ascii="Times New Roman" w:hAnsi="Times New Roman"/>
          <w:sz w:val="28"/>
        </w:rPr>
        <w:t xml:space="preserve"> конкурентов</w:t>
      </w:r>
      <w:r>
        <w:rPr>
          <w:rFonts w:ascii="Times New Roman" w:hAnsi="Times New Roman"/>
          <w:sz w:val="28"/>
        </w:rPr>
        <w:t xml:space="preserve"> за последние 3 года</w:t>
      </w:r>
      <w:r>
        <w:rPr>
          <w:rFonts w:ascii="Times New Roman" w:hAnsi="Times New Roman"/>
          <w:sz w:val="28"/>
        </w:rPr>
        <w:t xml:space="preserve">, </w:t>
      </w:r>
      <w:r>
        <w:rPr>
          <w:rFonts w:ascii="Times New Roman" w:hAnsi="Times New Roman"/>
          <w:sz w:val="28"/>
        </w:rPr>
        <w:t>48</w:t>
      </w:r>
      <w:r>
        <w:rPr>
          <w:rFonts w:ascii="Times New Roman" w:hAnsi="Times New Roman"/>
          <w:sz w:val="28"/>
        </w:rPr>
        <w:t xml:space="preserve">% опрошенных отметили, что количество конкурентов не изменилось. От 4 и более конкурентов имеют </w:t>
      </w:r>
      <w:r>
        <w:rPr>
          <w:rFonts w:ascii="Times New Roman" w:hAnsi="Times New Roman"/>
          <w:sz w:val="28"/>
        </w:rPr>
        <w:t>28</w:t>
      </w:r>
      <w:r>
        <w:rPr>
          <w:rFonts w:ascii="Times New Roman" w:hAnsi="Times New Roman"/>
          <w:sz w:val="28"/>
        </w:rPr>
        <w:t xml:space="preserve">% опрошенных и </w:t>
      </w:r>
      <w:r>
        <w:rPr>
          <w:rFonts w:ascii="Times New Roman" w:hAnsi="Times New Roman"/>
          <w:sz w:val="28"/>
        </w:rPr>
        <w:t>12</w:t>
      </w:r>
      <w:r>
        <w:rPr>
          <w:rFonts w:ascii="Times New Roman" w:hAnsi="Times New Roman"/>
          <w:sz w:val="28"/>
        </w:rPr>
        <w:t xml:space="preserve">% </w:t>
      </w:r>
      <w:r>
        <w:rPr>
          <w:rFonts w:ascii="Times New Roman" w:hAnsi="Times New Roman"/>
          <w:sz w:val="28"/>
        </w:rPr>
        <w:t>респондентов</w:t>
      </w:r>
      <w:r>
        <w:rPr>
          <w:rFonts w:ascii="Times New Roman" w:hAnsi="Times New Roman"/>
          <w:sz w:val="28"/>
        </w:rPr>
        <w:t xml:space="preserve"> указали на наличие от 1 до 3 конкурентов. </w:t>
      </w:r>
      <w:r>
        <w:rPr>
          <w:rFonts w:ascii="Times New Roman" w:hAnsi="Times New Roman"/>
          <w:sz w:val="28"/>
        </w:rPr>
        <w:t>7</w:t>
      </w:r>
      <w:r>
        <w:rPr>
          <w:rFonts w:ascii="Times New Roman" w:hAnsi="Times New Roman"/>
          <w:sz w:val="28"/>
        </w:rPr>
        <w:t xml:space="preserve">% опрошенных посчитали, что количество конкурентов сократилось на 1-3 конкурента, а </w:t>
      </w:r>
      <w:r>
        <w:rPr>
          <w:rFonts w:ascii="Times New Roman" w:hAnsi="Times New Roman"/>
          <w:sz w:val="28"/>
        </w:rPr>
        <w:t>5</w:t>
      </w:r>
      <w:r>
        <w:rPr>
          <w:rFonts w:ascii="Times New Roman" w:hAnsi="Times New Roman"/>
          <w:sz w:val="28"/>
        </w:rPr>
        <w:t xml:space="preserve">% – на 4 и более конкурентов </w:t>
      </w:r>
    </w:p>
    <w:p w14:paraId="B7010000">
      <w:pPr>
        <w:pStyle w:val="Style_13"/>
        <w:spacing w:line="276" w:lineRule="auto"/>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 xml:space="preserve">оложительной тенденцией является преобладание большого количества конкурентов на большинстве рынках города и рост их числа в целом. </w:t>
      </w:r>
    </w:p>
    <w:p w14:paraId="B8010000">
      <w:pPr>
        <w:pStyle w:val="Style_13"/>
        <w:spacing w:line="276" w:lineRule="auto"/>
        <w:ind w:firstLine="709" w:left="0"/>
        <w:jc w:val="both"/>
        <w:rPr>
          <w:rFonts w:ascii="Times New Roman" w:hAnsi="Times New Roman"/>
          <w:sz w:val="28"/>
        </w:rPr>
      </w:pPr>
      <w:r>
        <w:rPr>
          <w:rFonts w:ascii="Times New Roman" w:hAnsi="Times New Roman"/>
          <w:sz w:val="28"/>
        </w:rPr>
        <w:t>Высокая конкуренция стимули</w:t>
      </w:r>
      <w:r>
        <w:rPr>
          <w:rFonts w:ascii="Times New Roman" w:hAnsi="Times New Roman"/>
          <w:sz w:val="28"/>
        </w:rPr>
        <w:t>рует</w:t>
      </w:r>
      <w:r>
        <w:rPr>
          <w:rFonts w:ascii="Times New Roman" w:hAnsi="Times New Roman"/>
          <w:sz w:val="28"/>
        </w:rPr>
        <w:t xml:space="preserve"> </w:t>
      </w:r>
      <w:r>
        <w:rPr>
          <w:rFonts w:ascii="Times New Roman" w:hAnsi="Times New Roman"/>
          <w:sz w:val="28"/>
        </w:rPr>
        <w:t>предпринимателей</w:t>
      </w:r>
      <w:r>
        <w:rPr>
          <w:rFonts w:ascii="Times New Roman" w:hAnsi="Times New Roman"/>
          <w:sz w:val="28"/>
        </w:rPr>
        <w:t xml:space="preserve"> принимать меры по повышению конкурентоспособности продукции, использовать инновационные подходы, обеспечивающие повышение его эффективности.</w:t>
      </w:r>
    </w:p>
    <w:p w14:paraId="B9010000">
      <w:pPr>
        <w:pStyle w:val="Style_13"/>
        <w:spacing w:line="276" w:lineRule="auto"/>
        <w:ind w:firstLine="709" w:left="0"/>
        <w:jc w:val="both"/>
        <w:rPr>
          <w:rFonts w:ascii="Times New Roman" w:hAnsi="Times New Roman"/>
          <w:sz w:val="28"/>
        </w:rPr>
      </w:pPr>
      <w:r>
        <w:rPr>
          <w:rFonts w:ascii="Times New Roman" w:hAnsi="Times New Roman"/>
          <w:sz w:val="28"/>
        </w:rPr>
        <w:t>Д</w:t>
      </w:r>
      <w:r>
        <w:rPr>
          <w:rFonts w:ascii="Times New Roman" w:hAnsi="Times New Roman"/>
          <w:sz w:val="28"/>
        </w:rPr>
        <w:t>ля оценки сост</w:t>
      </w:r>
      <w:r>
        <w:rPr>
          <w:rFonts w:ascii="Times New Roman" w:hAnsi="Times New Roman"/>
          <w:sz w:val="28"/>
        </w:rPr>
        <w:t xml:space="preserve">ояния конкуренции респондентов </w:t>
      </w:r>
      <w:r>
        <w:rPr>
          <w:rFonts w:ascii="Times New Roman" w:hAnsi="Times New Roman"/>
          <w:sz w:val="28"/>
        </w:rPr>
        <w:t>попросили выбрать утверждение, наиболее точно характеризующее условия ведения бизнеса, а именно, как часто требуется реализация мер по повышению конкурентоспособности продукции (товаров, работ, услуг) (таблица 1.</w:t>
      </w:r>
      <w:r>
        <w:rPr>
          <w:rFonts w:ascii="Times New Roman" w:hAnsi="Times New Roman"/>
          <w:sz w:val="28"/>
        </w:rPr>
        <w:t>1</w:t>
      </w:r>
      <w:r>
        <w:rPr>
          <w:rFonts w:ascii="Times New Roman" w:hAnsi="Times New Roman"/>
          <w:sz w:val="28"/>
        </w:rPr>
        <w:t>).</w:t>
      </w:r>
    </w:p>
    <w:p w14:paraId="BA010000">
      <w:pPr>
        <w:pStyle w:val="Style_13"/>
        <w:spacing w:line="276" w:lineRule="auto"/>
        <w:ind/>
        <w:jc w:val="center"/>
        <w:rPr>
          <w:rFonts w:ascii="Times New Roman" w:hAnsi="Times New Roman"/>
          <w:sz w:val="28"/>
        </w:rPr>
      </w:pPr>
      <w:r>
        <w:rPr>
          <w:rFonts w:ascii="Times New Roman" w:hAnsi="Times New Roman"/>
          <w:sz w:val="28"/>
        </w:rPr>
        <w:t>Таблица 1</w:t>
      </w:r>
      <w:r>
        <w:rPr>
          <w:rFonts w:ascii="Times New Roman" w:hAnsi="Times New Roman"/>
          <w:sz w:val="28"/>
        </w:rPr>
        <w:t>.1</w:t>
      </w:r>
      <w:r>
        <w:rPr>
          <w:rFonts w:ascii="Times New Roman" w:hAnsi="Times New Roman"/>
          <w:sz w:val="28"/>
        </w:rPr>
        <w:t xml:space="preserve"> – Распределение мнения респондентов об условиях ведения бизнеса, который они представляют, % к опрошенным.</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929"/>
        <w:gridCol w:w="1042"/>
        <w:gridCol w:w="1042"/>
        <w:gridCol w:w="954"/>
      </w:tblGrid>
      <w:tr>
        <w:trPr>
          <w:tblHeader/>
        </w:trPr>
        <w:tc>
          <w:tcPr>
            <w:tcW w:type="dxa" w:w="6929"/>
            <w:tcBorders>
              <w:top w:color="000000" w:sz="4" w:val="single"/>
              <w:left w:color="000000" w:sz="4" w:val="single"/>
              <w:bottom w:color="000000" w:sz="4" w:val="single"/>
              <w:right w:color="000000" w:sz="4" w:val="single"/>
            </w:tcBorders>
          </w:tcPr>
          <w:p w14:paraId="BB010000">
            <w:pPr>
              <w:pStyle w:val="Style_13"/>
              <w:spacing w:line="276" w:lineRule="auto"/>
              <w:ind/>
              <w:jc w:val="both"/>
              <w:rPr>
                <w:rFonts w:ascii="Times New Roman" w:hAnsi="Times New Roman"/>
                <w:sz w:val="28"/>
              </w:rPr>
            </w:pPr>
          </w:p>
        </w:tc>
        <w:tc>
          <w:tcPr>
            <w:tcW w:type="dxa" w:w="1042"/>
            <w:tcBorders>
              <w:top w:color="000000" w:sz="4" w:val="single"/>
              <w:left w:color="000000" w:sz="4" w:val="single"/>
              <w:bottom w:color="000000" w:sz="4" w:val="single"/>
              <w:right w:color="000000" w:sz="4" w:val="single"/>
            </w:tcBorders>
          </w:tcPr>
          <w:p w14:paraId="BC010000">
            <w:pPr>
              <w:pStyle w:val="Style_13"/>
              <w:spacing w:line="276" w:lineRule="auto"/>
              <w:ind/>
              <w:jc w:val="center"/>
              <w:rPr>
                <w:rFonts w:ascii="Times New Roman" w:hAnsi="Times New Roman"/>
                <w:sz w:val="28"/>
              </w:rPr>
            </w:pPr>
            <w:r>
              <w:rPr>
                <w:rFonts w:ascii="Times New Roman" w:hAnsi="Times New Roman"/>
                <w:sz w:val="28"/>
              </w:rPr>
              <w:t>2019 год</w:t>
            </w:r>
          </w:p>
        </w:tc>
        <w:tc>
          <w:tcPr>
            <w:tcW w:type="dxa" w:w="1042"/>
            <w:tcBorders>
              <w:top w:color="000000" w:sz="4" w:val="single"/>
              <w:left w:color="000000" w:sz="4" w:val="single"/>
              <w:bottom w:color="000000" w:sz="4" w:val="single"/>
              <w:right w:color="000000" w:sz="4" w:val="single"/>
            </w:tcBorders>
          </w:tcPr>
          <w:p w14:paraId="BD010000">
            <w:pPr>
              <w:pStyle w:val="Style_13"/>
              <w:spacing w:line="276" w:lineRule="auto"/>
              <w:ind/>
              <w:jc w:val="center"/>
              <w:rPr>
                <w:rFonts w:ascii="Times New Roman" w:hAnsi="Times New Roman"/>
                <w:sz w:val="28"/>
              </w:rPr>
            </w:pPr>
            <w:r>
              <w:rPr>
                <w:rFonts w:ascii="Times New Roman" w:hAnsi="Times New Roman"/>
                <w:sz w:val="28"/>
              </w:rPr>
              <w:t>2020 год</w:t>
            </w:r>
          </w:p>
        </w:tc>
        <w:tc>
          <w:tcPr>
            <w:tcW w:type="dxa" w:w="954"/>
            <w:tcBorders>
              <w:top w:color="000000" w:sz="4" w:val="single"/>
              <w:left w:color="000000" w:sz="4" w:val="single"/>
              <w:bottom w:color="000000" w:sz="4" w:val="single"/>
              <w:right w:color="000000" w:sz="4" w:val="single"/>
            </w:tcBorders>
          </w:tcPr>
          <w:p w14:paraId="BE010000">
            <w:pPr>
              <w:pStyle w:val="Style_13"/>
              <w:spacing w:line="276" w:lineRule="auto"/>
              <w:ind/>
              <w:jc w:val="center"/>
              <w:rPr>
                <w:rFonts w:ascii="Times New Roman" w:hAnsi="Times New Roman"/>
                <w:sz w:val="28"/>
              </w:rPr>
            </w:pPr>
            <w:r>
              <w:rPr>
                <w:rFonts w:ascii="Times New Roman" w:hAnsi="Times New Roman"/>
                <w:sz w:val="28"/>
              </w:rPr>
              <w:t>2021 год</w:t>
            </w:r>
          </w:p>
        </w:tc>
      </w:tr>
      <w:tr>
        <w:tc>
          <w:tcPr>
            <w:tcW w:type="dxa" w:w="6929"/>
            <w:tcBorders>
              <w:top w:color="000000" w:sz="4" w:val="single"/>
              <w:left w:color="000000" w:sz="4" w:val="single"/>
              <w:bottom w:color="000000" w:sz="4" w:val="single"/>
              <w:right w:color="000000" w:sz="4" w:val="single"/>
            </w:tcBorders>
          </w:tcPr>
          <w:p w14:paraId="BF010000">
            <w:pPr>
              <w:pStyle w:val="Style_13"/>
              <w:spacing w:line="276" w:lineRule="auto"/>
              <w:ind/>
              <w:jc w:val="both"/>
              <w:rPr>
                <w:rFonts w:ascii="Times New Roman" w:hAnsi="Times New Roman"/>
                <w:sz w:val="28"/>
              </w:rPr>
            </w:pPr>
            <w:r>
              <w:rPr>
                <w:rFonts w:ascii="Times New Roman" w:hAnsi="Times New Roman"/>
                <w:color w:val="000000"/>
                <w:sz w:val="28"/>
              </w:rPr>
              <w:t xml:space="preserve">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 </w:t>
            </w:r>
            <w:r>
              <w:rPr>
                <w:rFonts w:ascii="Times New Roman" w:hAnsi="Times New Roman"/>
                <w:b w:val="1"/>
                <w:color w:val="000000"/>
                <w:sz w:val="28"/>
                <w:u w:val="single"/>
              </w:rPr>
              <w:t>нет конкуренции</w:t>
            </w:r>
          </w:p>
        </w:tc>
        <w:tc>
          <w:tcPr>
            <w:tcW w:type="dxa" w:w="1042"/>
            <w:tcBorders>
              <w:top w:color="000000" w:sz="4" w:val="single"/>
              <w:left w:color="000000" w:sz="4" w:val="single"/>
              <w:bottom w:color="000000" w:sz="4" w:val="single"/>
              <w:right w:color="000000" w:sz="4" w:val="single"/>
            </w:tcBorders>
          </w:tcPr>
          <w:p w14:paraId="C0010000">
            <w:pPr>
              <w:pStyle w:val="Style_13"/>
              <w:spacing w:line="276" w:lineRule="auto"/>
              <w:ind/>
              <w:jc w:val="center"/>
              <w:rPr>
                <w:rFonts w:ascii="Times New Roman" w:hAnsi="Times New Roman"/>
                <w:sz w:val="28"/>
              </w:rPr>
            </w:pPr>
            <w:r>
              <w:rPr>
                <w:rFonts w:ascii="Times New Roman" w:hAnsi="Times New Roman"/>
                <w:sz w:val="28"/>
              </w:rPr>
              <w:t>1%</w:t>
            </w:r>
          </w:p>
        </w:tc>
        <w:tc>
          <w:tcPr>
            <w:tcW w:type="dxa" w:w="1042"/>
            <w:tcBorders>
              <w:top w:color="000000" w:sz="4" w:val="single"/>
              <w:left w:color="000000" w:sz="4" w:val="single"/>
              <w:bottom w:color="000000" w:sz="4" w:val="single"/>
              <w:right w:color="000000" w:sz="4" w:val="single"/>
            </w:tcBorders>
          </w:tcPr>
          <w:p w14:paraId="C1010000">
            <w:pPr>
              <w:pStyle w:val="Style_13"/>
              <w:spacing w:line="276" w:lineRule="auto"/>
              <w:ind/>
              <w:jc w:val="center"/>
              <w:rPr>
                <w:rFonts w:ascii="Times New Roman" w:hAnsi="Times New Roman"/>
                <w:sz w:val="28"/>
              </w:rPr>
            </w:pPr>
            <w:r>
              <w:rPr>
                <w:rFonts w:ascii="Times New Roman" w:hAnsi="Times New Roman"/>
                <w:sz w:val="28"/>
              </w:rPr>
              <w:t>2%</w:t>
            </w:r>
          </w:p>
        </w:tc>
        <w:tc>
          <w:tcPr>
            <w:tcW w:type="dxa" w:w="954"/>
            <w:tcBorders>
              <w:top w:color="000000" w:sz="4" w:val="single"/>
              <w:left w:color="000000" w:sz="4" w:val="single"/>
              <w:bottom w:color="000000" w:sz="4" w:val="single"/>
              <w:right w:color="000000" w:sz="4" w:val="single"/>
            </w:tcBorders>
          </w:tcPr>
          <w:p w14:paraId="C2010000">
            <w:pPr>
              <w:pStyle w:val="Style_13"/>
              <w:spacing w:line="276" w:lineRule="auto"/>
              <w:ind/>
              <w:jc w:val="center"/>
              <w:rPr>
                <w:rFonts w:ascii="Times New Roman" w:hAnsi="Times New Roman"/>
                <w:sz w:val="28"/>
              </w:rPr>
            </w:pPr>
            <w:r>
              <w:rPr>
                <w:rFonts w:ascii="Times New Roman" w:hAnsi="Times New Roman"/>
                <w:sz w:val="28"/>
              </w:rPr>
              <w:t>2%</w:t>
            </w:r>
          </w:p>
        </w:tc>
      </w:tr>
      <w:tr>
        <w:tc>
          <w:tcPr>
            <w:tcW w:type="dxa" w:w="6929"/>
            <w:tcBorders>
              <w:top w:color="000000" w:sz="4" w:val="single"/>
              <w:left w:color="000000" w:sz="4" w:val="single"/>
              <w:bottom w:color="000000" w:sz="4" w:val="single"/>
              <w:right w:color="000000" w:sz="4" w:val="single"/>
            </w:tcBorders>
          </w:tcPr>
          <w:p w14:paraId="C3010000">
            <w:pPr>
              <w:pStyle w:val="Style_13"/>
              <w:spacing w:line="276" w:lineRule="auto"/>
              <w:ind/>
              <w:jc w:val="both"/>
              <w:rPr>
                <w:rFonts w:ascii="Times New Roman" w:hAnsi="Times New Roman"/>
                <w:sz w:val="28"/>
              </w:rPr>
            </w:pPr>
            <w:r>
              <w:rPr>
                <w:rFonts w:ascii="Times New Roman" w:hAnsi="Times New Roman"/>
                <w:color w:val="000000"/>
                <w:sz w:val="28"/>
              </w:rPr>
              <w:t xml:space="preserve">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 </w:t>
            </w:r>
            <w:r>
              <w:rPr>
                <w:rFonts w:ascii="Times New Roman" w:hAnsi="Times New Roman"/>
                <w:b w:val="1"/>
                <w:color w:val="000000"/>
                <w:sz w:val="28"/>
                <w:u w:val="single"/>
              </w:rPr>
              <w:t>слабая конкуренция</w:t>
            </w:r>
          </w:p>
        </w:tc>
        <w:tc>
          <w:tcPr>
            <w:tcW w:type="dxa" w:w="1042"/>
            <w:tcBorders>
              <w:top w:color="000000" w:sz="4" w:val="single"/>
              <w:left w:color="000000" w:sz="4" w:val="single"/>
              <w:bottom w:color="000000" w:sz="4" w:val="single"/>
              <w:right w:color="000000" w:sz="4" w:val="single"/>
            </w:tcBorders>
          </w:tcPr>
          <w:p w14:paraId="C4010000">
            <w:pPr>
              <w:pStyle w:val="Style_13"/>
              <w:spacing w:line="276" w:lineRule="auto"/>
              <w:ind/>
              <w:jc w:val="center"/>
              <w:rPr>
                <w:rFonts w:ascii="Times New Roman" w:hAnsi="Times New Roman"/>
                <w:sz w:val="28"/>
              </w:rPr>
            </w:pPr>
            <w:r>
              <w:rPr>
                <w:rFonts w:ascii="Times New Roman" w:hAnsi="Times New Roman"/>
                <w:sz w:val="28"/>
              </w:rPr>
              <w:t>10%</w:t>
            </w:r>
          </w:p>
        </w:tc>
        <w:tc>
          <w:tcPr>
            <w:tcW w:type="dxa" w:w="1042"/>
            <w:tcBorders>
              <w:top w:color="000000" w:sz="4" w:val="single"/>
              <w:left w:color="000000" w:sz="4" w:val="single"/>
              <w:bottom w:color="000000" w:sz="4" w:val="single"/>
              <w:right w:color="000000" w:sz="4" w:val="single"/>
            </w:tcBorders>
          </w:tcPr>
          <w:p w14:paraId="C5010000">
            <w:pPr>
              <w:pStyle w:val="Style_13"/>
              <w:spacing w:line="276" w:lineRule="auto"/>
              <w:ind/>
              <w:jc w:val="center"/>
              <w:rPr>
                <w:rFonts w:ascii="Times New Roman" w:hAnsi="Times New Roman"/>
                <w:sz w:val="28"/>
              </w:rPr>
            </w:pPr>
            <w:r>
              <w:rPr>
                <w:rFonts w:ascii="Times New Roman" w:hAnsi="Times New Roman"/>
                <w:sz w:val="28"/>
              </w:rPr>
              <w:t>9%</w:t>
            </w:r>
          </w:p>
        </w:tc>
        <w:tc>
          <w:tcPr>
            <w:tcW w:type="dxa" w:w="954"/>
            <w:tcBorders>
              <w:top w:color="000000" w:sz="4" w:val="single"/>
              <w:left w:color="000000" w:sz="4" w:val="single"/>
              <w:bottom w:color="000000" w:sz="4" w:val="single"/>
              <w:right w:color="000000" w:sz="4" w:val="single"/>
            </w:tcBorders>
          </w:tcPr>
          <w:p w14:paraId="C6010000">
            <w:pPr>
              <w:pStyle w:val="Style_13"/>
              <w:spacing w:line="276" w:lineRule="auto"/>
              <w:ind/>
              <w:jc w:val="center"/>
              <w:rPr>
                <w:rFonts w:ascii="Times New Roman" w:hAnsi="Times New Roman"/>
                <w:sz w:val="28"/>
              </w:rPr>
            </w:pPr>
            <w:r>
              <w:rPr>
                <w:rFonts w:ascii="Times New Roman" w:hAnsi="Times New Roman"/>
                <w:sz w:val="28"/>
              </w:rPr>
              <w:t>11%</w:t>
            </w:r>
          </w:p>
        </w:tc>
      </w:tr>
      <w:tr>
        <w:tc>
          <w:tcPr>
            <w:tcW w:type="dxa" w:w="6929"/>
            <w:tcBorders>
              <w:top w:color="000000" w:sz="4" w:val="single"/>
              <w:left w:color="000000" w:sz="4" w:val="single"/>
              <w:bottom w:color="000000" w:sz="4" w:val="single"/>
              <w:right w:color="000000" w:sz="4" w:val="single"/>
            </w:tcBorders>
          </w:tcPr>
          <w:p w14:paraId="C7010000">
            <w:pPr>
              <w:pStyle w:val="Style_13"/>
              <w:spacing w:line="276" w:lineRule="auto"/>
              <w:ind/>
              <w:jc w:val="both"/>
              <w:rPr>
                <w:rFonts w:ascii="Times New Roman" w:hAnsi="Times New Roman"/>
                <w:sz w:val="28"/>
              </w:rPr>
            </w:pPr>
            <w:r>
              <w:rPr>
                <w:rFonts w:ascii="Times New Roman" w:hAnsi="Times New Roman"/>
                <w:color w:val="000000"/>
                <w:sz w:val="28"/>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 </w:t>
            </w:r>
            <w:r>
              <w:rPr>
                <w:rFonts w:ascii="Times New Roman" w:hAnsi="Times New Roman"/>
                <w:b w:val="1"/>
                <w:color w:val="000000"/>
                <w:sz w:val="28"/>
                <w:u w:val="single"/>
              </w:rPr>
              <w:t>умеренная конкуренция</w:t>
            </w:r>
          </w:p>
        </w:tc>
        <w:tc>
          <w:tcPr>
            <w:tcW w:type="dxa" w:w="1042"/>
            <w:tcBorders>
              <w:top w:color="000000" w:sz="4" w:val="single"/>
              <w:left w:color="000000" w:sz="4" w:val="single"/>
              <w:bottom w:color="000000" w:sz="4" w:val="single"/>
              <w:right w:color="000000" w:sz="4" w:val="single"/>
            </w:tcBorders>
          </w:tcPr>
          <w:p w14:paraId="C8010000">
            <w:pPr>
              <w:pStyle w:val="Style_13"/>
              <w:spacing w:line="276" w:lineRule="auto"/>
              <w:ind/>
              <w:jc w:val="center"/>
              <w:rPr>
                <w:rFonts w:ascii="Times New Roman" w:hAnsi="Times New Roman"/>
                <w:sz w:val="28"/>
              </w:rPr>
            </w:pPr>
            <w:r>
              <w:rPr>
                <w:rFonts w:ascii="Times New Roman" w:hAnsi="Times New Roman"/>
                <w:sz w:val="28"/>
              </w:rPr>
              <w:t>17%</w:t>
            </w:r>
          </w:p>
        </w:tc>
        <w:tc>
          <w:tcPr>
            <w:tcW w:type="dxa" w:w="1042"/>
            <w:tcBorders>
              <w:top w:color="000000" w:sz="4" w:val="single"/>
              <w:left w:color="000000" w:sz="4" w:val="single"/>
              <w:bottom w:color="000000" w:sz="4" w:val="single"/>
              <w:right w:color="000000" w:sz="4" w:val="single"/>
            </w:tcBorders>
          </w:tcPr>
          <w:p w14:paraId="C9010000">
            <w:pPr>
              <w:pStyle w:val="Style_13"/>
              <w:spacing w:line="276" w:lineRule="auto"/>
              <w:ind/>
              <w:jc w:val="center"/>
              <w:rPr>
                <w:rFonts w:ascii="Times New Roman" w:hAnsi="Times New Roman"/>
                <w:sz w:val="28"/>
              </w:rPr>
            </w:pPr>
            <w:r>
              <w:rPr>
                <w:rFonts w:ascii="Times New Roman" w:hAnsi="Times New Roman"/>
                <w:sz w:val="28"/>
              </w:rPr>
              <w:t>19%</w:t>
            </w:r>
          </w:p>
        </w:tc>
        <w:tc>
          <w:tcPr>
            <w:tcW w:type="dxa" w:w="954"/>
            <w:tcBorders>
              <w:top w:color="000000" w:sz="4" w:val="single"/>
              <w:left w:color="000000" w:sz="4" w:val="single"/>
              <w:bottom w:color="000000" w:sz="4" w:val="single"/>
              <w:right w:color="000000" w:sz="4" w:val="single"/>
            </w:tcBorders>
          </w:tcPr>
          <w:p w14:paraId="CA010000">
            <w:pPr>
              <w:pStyle w:val="Style_13"/>
              <w:spacing w:line="276" w:lineRule="auto"/>
              <w:ind/>
              <w:jc w:val="center"/>
              <w:rPr>
                <w:rFonts w:ascii="Times New Roman" w:hAnsi="Times New Roman"/>
                <w:sz w:val="28"/>
              </w:rPr>
            </w:pPr>
            <w:r>
              <w:rPr>
                <w:rFonts w:ascii="Times New Roman" w:hAnsi="Times New Roman"/>
                <w:sz w:val="28"/>
              </w:rPr>
              <w:t>18%</w:t>
            </w:r>
          </w:p>
        </w:tc>
      </w:tr>
      <w:tr>
        <w:tc>
          <w:tcPr>
            <w:tcW w:type="dxa" w:w="6929"/>
            <w:tcBorders>
              <w:top w:color="000000" w:sz="4" w:val="single"/>
              <w:left w:color="000000" w:sz="4" w:val="single"/>
              <w:bottom w:color="000000" w:sz="4" w:val="single"/>
              <w:right w:color="000000" w:sz="4" w:val="single"/>
            </w:tcBorders>
          </w:tcPr>
          <w:p w14:paraId="CB010000">
            <w:pPr>
              <w:pStyle w:val="Style_13"/>
              <w:spacing w:line="276" w:lineRule="auto"/>
              <w:ind/>
              <w:jc w:val="both"/>
              <w:rPr>
                <w:rFonts w:ascii="Times New Roman" w:hAnsi="Times New Roman"/>
                <w:sz w:val="28"/>
              </w:rPr>
            </w:pPr>
            <w:r>
              <w:rPr>
                <w:rFonts w:ascii="Times New Roman" w:hAnsi="Times New Roman"/>
                <w:color w:val="000000"/>
                <w:sz w:val="28"/>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w:t>
            </w:r>
            <w:r>
              <w:rPr>
                <w:rFonts w:ascii="Times New Roman" w:hAnsi="Times New Roman"/>
                <w:b w:val="1"/>
                <w:color w:val="000000"/>
                <w:sz w:val="28"/>
                <w:u w:val="single"/>
              </w:rPr>
              <w:t>высокая конкуренция</w:t>
            </w:r>
          </w:p>
        </w:tc>
        <w:tc>
          <w:tcPr>
            <w:tcW w:type="dxa" w:w="1042"/>
            <w:tcBorders>
              <w:top w:color="000000" w:sz="4" w:val="single"/>
              <w:left w:color="000000" w:sz="4" w:val="single"/>
              <w:bottom w:color="000000" w:sz="4" w:val="single"/>
              <w:right w:color="000000" w:sz="4" w:val="single"/>
            </w:tcBorders>
          </w:tcPr>
          <w:p w14:paraId="CC010000">
            <w:pPr>
              <w:pStyle w:val="Style_13"/>
              <w:spacing w:line="276" w:lineRule="auto"/>
              <w:ind/>
              <w:jc w:val="center"/>
              <w:rPr>
                <w:rFonts w:ascii="Times New Roman" w:hAnsi="Times New Roman"/>
                <w:sz w:val="28"/>
              </w:rPr>
            </w:pPr>
            <w:r>
              <w:rPr>
                <w:rFonts w:ascii="Times New Roman" w:hAnsi="Times New Roman"/>
                <w:sz w:val="28"/>
              </w:rPr>
              <w:t>43%</w:t>
            </w:r>
          </w:p>
        </w:tc>
        <w:tc>
          <w:tcPr>
            <w:tcW w:type="dxa" w:w="1042"/>
            <w:tcBorders>
              <w:top w:color="000000" w:sz="4" w:val="single"/>
              <w:left w:color="000000" w:sz="4" w:val="single"/>
              <w:bottom w:color="000000" w:sz="4" w:val="single"/>
              <w:right w:color="000000" w:sz="4" w:val="single"/>
            </w:tcBorders>
          </w:tcPr>
          <w:p w14:paraId="CD010000">
            <w:pPr>
              <w:pStyle w:val="Style_13"/>
              <w:spacing w:line="276" w:lineRule="auto"/>
              <w:ind/>
              <w:jc w:val="center"/>
              <w:rPr>
                <w:rFonts w:ascii="Times New Roman" w:hAnsi="Times New Roman"/>
                <w:sz w:val="28"/>
              </w:rPr>
            </w:pPr>
            <w:r>
              <w:rPr>
                <w:rFonts w:ascii="Times New Roman" w:hAnsi="Times New Roman"/>
                <w:sz w:val="28"/>
              </w:rPr>
              <w:t>45%</w:t>
            </w:r>
          </w:p>
        </w:tc>
        <w:tc>
          <w:tcPr>
            <w:tcW w:type="dxa" w:w="954"/>
            <w:tcBorders>
              <w:top w:color="000000" w:sz="4" w:val="single"/>
              <w:left w:color="000000" w:sz="4" w:val="single"/>
              <w:bottom w:color="000000" w:sz="4" w:val="single"/>
              <w:right w:color="000000" w:sz="4" w:val="single"/>
            </w:tcBorders>
          </w:tcPr>
          <w:p w14:paraId="CE010000">
            <w:pPr>
              <w:pStyle w:val="Style_13"/>
              <w:spacing w:line="276" w:lineRule="auto"/>
              <w:ind/>
              <w:jc w:val="center"/>
              <w:rPr>
                <w:rFonts w:ascii="Times New Roman" w:hAnsi="Times New Roman"/>
                <w:sz w:val="28"/>
              </w:rPr>
            </w:pPr>
            <w:r>
              <w:rPr>
                <w:rFonts w:ascii="Times New Roman" w:hAnsi="Times New Roman"/>
                <w:sz w:val="28"/>
              </w:rPr>
              <w:t>48%</w:t>
            </w:r>
          </w:p>
        </w:tc>
      </w:tr>
      <w:tr>
        <w:tc>
          <w:tcPr>
            <w:tcW w:type="dxa" w:w="6929"/>
            <w:tcBorders>
              <w:top w:color="000000" w:sz="4" w:val="single"/>
              <w:left w:color="000000" w:sz="4" w:val="single"/>
              <w:bottom w:color="000000" w:sz="4" w:val="single"/>
              <w:right w:color="000000" w:sz="4" w:val="single"/>
            </w:tcBorders>
          </w:tcPr>
          <w:p w14:paraId="CF010000">
            <w:pPr>
              <w:pStyle w:val="Style_13"/>
              <w:spacing w:line="276" w:lineRule="auto"/>
              <w:ind/>
              <w:jc w:val="both"/>
              <w:rPr>
                <w:rFonts w:ascii="Times New Roman" w:hAnsi="Times New Roman"/>
                <w:sz w:val="28"/>
              </w:rPr>
            </w:pPr>
            <w:r>
              <w:rPr>
                <w:rFonts w:ascii="Times New Roman" w:hAnsi="Times New Roman"/>
                <w:color w:val="000000"/>
                <w:sz w:val="28"/>
              </w:rPr>
              <w:t xml:space="preserve">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 </w:t>
            </w:r>
            <w:r>
              <w:rPr>
                <w:rFonts w:ascii="Times New Roman" w:hAnsi="Times New Roman"/>
                <w:b w:val="1"/>
                <w:color w:val="000000"/>
                <w:sz w:val="28"/>
                <w:u w:val="single"/>
              </w:rPr>
              <w:t>очень высокая конкуренция</w:t>
            </w:r>
          </w:p>
        </w:tc>
        <w:tc>
          <w:tcPr>
            <w:tcW w:type="dxa" w:w="1042"/>
            <w:tcBorders>
              <w:top w:color="000000" w:sz="4" w:val="single"/>
              <w:left w:color="000000" w:sz="4" w:val="single"/>
              <w:bottom w:color="000000" w:sz="4" w:val="single"/>
              <w:right w:color="000000" w:sz="4" w:val="single"/>
            </w:tcBorders>
          </w:tcPr>
          <w:p w14:paraId="D0010000">
            <w:pPr>
              <w:pStyle w:val="Style_13"/>
              <w:spacing w:line="276" w:lineRule="auto"/>
              <w:ind/>
              <w:jc w:val="center"/>
              <w:rPr>
                <w:rFonts w:ascii="Times New Roman" w:hAnsi="Times New Roman"/>
                <w:sz w:val="28"/>
              </w:rPr>
            </w:pPr>
            <w:r>
              <w:rPr>
                <w:rFonts w:ascii="Times New Roman" w:hAnsi="Times New Roman"/>
                <w:sz w:val="28"/>
              </w:rPr>
              <w:t>29%</w:t>
            </w:r>
          </w:p>
        </w:tc>
        <w:tc>
          <w:tcPr>
            <w:tcW w:type="dxa" w:w="1042"/>
            <w:tcBorders>
              <w:top w:color="000000" w:sz="4" w:val="single"/>
              <w:left w:color="000000" w:sz="4" w:val="single"/>
              <w:bottom w:color="000000" w:sz="4" w:val="single"/>
              <w:right w:color="000000" w:sz="4" w:val="single"/>
            </w:tcBorders>
          </w:tcPr>
          <w:p w14:paraId="D1010000">
            <w:pPr>
              <w:pStyle w:val="Style_13"/>
              <w:spacing w:line="276" w:lineRule="auto"/>
              <w:ind/>
              <w:jc w:val="center"/>
              <w:rPr>
                <w:rFonts w:ascii="Times New Roman" w:hAnsi="Times New Roman"/>
                <w:sz w:val="28"/>
              </w:rPr>
            </w:pPr>
            <w:r>
              <w:rPr>
                <w:rFonts w:ascii="Times New Roman" w:hAnsi="Times New Roman"/>
                <w:sz w:val="28"/>
              </w:rPr>
              <w:t>25%</w:t>
            </w:r>
          </w:p>
        </w:tc>
        <w:tc>
          <w:tcPr>
            <w:tcW w:type="dxa" w:w="954"/>
            <w:tcBorders>
              <w:top w:color="000000" w:sz="4" w:val="single"/>
              <w:left w:color="000000" w:sz="4" w:val="single"/>
              <w:bottom w:color="000000" w:sz="4" w:val="single"/>
              <w:right w:color="000000" w:sz="4" w:val="single"/>
            </w:tcBorders>
          </w:tcPr>
          <w:p w14:paraId="D2010000">
            <w:pPr>
              <w:pStyle w:val="Style_13"/>
              <w:spacing w:line="276" w:lineRule="auto"/>
              <w:ind/>
              <w:jc w:val="center"/>
              <w:rPr>
                <w:rFonts w:ascii="Times New Roman" w:hAnsi="Times New Roman"/>
                <w:sz w:val="28"/>
              </w:rPr>
            </w:pPr>
            <w:r>
              <w:rPr>
                <w:rFonts w:ascii="Times New Roman" w:hAnsi="Times New Roman"/>
                <w:sz w:val="28"/>
              </w:rPr>
              <w:t>21%</w:t>
            </w:r>
          </w:p>
        </w:tc>
      </w:tr>
    </w:tbl>
    <w:p w14:paraId="D3010000">
      <w:pPr>
        <w:spacing w:after="0" w:line="240" w:lineRule="auto"/>
        <w:ind w:firstLine="709" w:left="0"/>
        <w:jc w:val="both"/>
        <w:rPr>
          <w:rFonts w:ascii="Times New Roman" w:hAnsi="Times New Roman"/>
          <w:sz w:val="28"/>
        </w:rPr>
      </w:pPr>
      <w:r>
        <w:rPr>
          <w:rFonts w:ascii="Times New Roman" w:hAnsi="Times New Roman"/>
          <w:sz w:val="28"/>
        </w:rPr>
        <w:t>По итогам 20</w:t>
      </w:r>
      <w:r>
        <w:rPr>
          <w:rFonts w:ascii="Times New Roman" w:hAnsi="Times New Roman"/>
          <w:sz w:val="28"/>
        </w:rPr>
        <w:t>21</w:t>
      </w:r>
      <w:r>
        <w:rPr>
          <w:rFonts w:ascii="Times New Roman" w:hAnsi="Times New Roman"/>
          <w:sz w:val="28"/>
        </w:rPr>
        <w:t xml:space="preserve"> года </w:t>
      </w:r>
      <w:r>
        <w:rPr>
          <w:rFonts w:ascii="Times New Roman" w:hAnsi="Times New Roman"/>
          <w:sz w:val="28"/>
        </w:rPr>
        <w:t>69</w:t>
      </w:r>
      <w:r>
        <w:rPr>
          <w:rFonts w:ascii="Times New Roman" w:hAnsi="Times New Roman"/>
          <w:sz w:val="28"/>
        </w:rPr>
        <w:t>% респондентов отметили, что ведут бизнес в условиях высокой и очень высокой конкуренции.</w:t>
      </w:r>
    </w:p>
    <w:p w14:paraId="D4010000">
      <w:pPr>
        <w:pStyle w:val="Style_13"/>
        <w:spacing w:line="276" w:lineRule="auto"/>
        <w:ind w:firstLine="709" w:left="0"/>
        <w:jc w:val="both"/>
        <w:rPr>
          <w:rFonts w:ascii="Times New Roman" w:hAnsi="Times New Roman"/>
          <w:sz w:val="28"/>
        </w:rPr>
      </w:pPr>
      <w:r>
        <w:rPr>
          <w:rFonts w:ascii="Times New Roman" w:hAnsi="Times New Roman"/>
          <w:sz w:val="28"/>
        </w:rPr>
        <w:t>При проведении оценки примерного</w:t>
      </w:r>
      <w:r>
        <w:rPr>
          <w:rFonts w:ascii="Times New Roman" w:hAnsi="Times New Roman"/>
          <w:sz w:val="28"/>
        </w:rPr>
        <w:t xml:space="preserve"> числа поставщиков основного закупаемого товара (работы, услуги) были получены следующие результаты (рисунок </w:t>
      </w:r>
      <w:r>
        <w:rPr>
          <w:rFonts w:ascii="Times New Roman" w:hAnsi="Times New Roman"/>
          <w:sz w:val="28"/>
        </w:rPr>
        <w:t>1.10</w:t>
      </w:r>
      <w:r>
        <w:rPr>
          <w:rFonts w:ascii="Times New Roman" w:hAnsi="Times New Roman"/>
          <w:sz w:val="28"/>
        </w:rPr>
        <w:t xml:space="preserve">): </w:t>
      </w:r>
      <w:r>
        <w:rPr>
          <w:rFonts w:ascii="Times New Roman" w:hAnsi="Times New Roman"/>
          <w:sz w:val="28"/>
        </w:rPr>
        <w:t>63</w:t>
      </w:r>
      <w:r>
        <w:rPr>
          <w:rFonts w:ascii="Times New Roman" w:hAnsi="Times New Roman"/>
          <w:sz w:val="28"/>
        </w:rPr>
        <w:t xml:space="preserve">% опрощенных считают, что имеют </w:t>
      </w:r>
      <w:r>
        <w:rPr>
          <w:rFonts w:ascii="Times New Roman" w:hAnsi="Times New Roman"/>
          <w:sz w:val="28"/>
        </w:rPr>
        <w:t>большое</w:t>
      </w:r>
      <w:r>
        <w:rPr>
          <w:rFonts w:ascii="Times New Roman" w:hAnsi="Times New Roman"/>
          <w:sz w:val="28"/>
        </w:rPr>
        <w:t xml:space="preserve"> число поставщиков основного закупаемого товара, </w:t>
      </w:r>
      <w:r>
        <w:rPr>
          <w:rFonts w:ascii="Times New Roman" w:hAnsi="Times New Roman"/>
          <w:sz w:val="28"/>
        </w:rPr>
        <w:t>11</w:t>
      </w:r>
      <w:r>
        <w:rPr>
          <w:rFonts w:ascii="Times New Roman" w:hAnsi="Times New Roman"/>
          <w:sz w:val="28"/>
        </w:rPr>
        <w:t xml:space="preserve">%, что их число составляет 2-3, </w:t>
      </w:r>
      <w:r>
        <w:rPr>
          <w:rFonts w:ascii="Times New Roman" w:hAnsi="Times New Roman"/>
          <w:sz w:val="28"/>
        </w:rPr>
        <w:t>19</w:t>
      </w:r>
      <w:r>
        <w:rPr>
          <w:rFonts w:ascii="Times New Roman" w:hAnsi="Times New Roman"/>
          <w:sz w:val="28"/>
        </w:rPr>
        <w:t xml:space="preserve">% – это 4 и боле количество поставщиков, </w:t>
      </w:r>
      <w:r>
        <w:rPr>
          <w:rFonts w:ascii="Times New Roman" w:hAnsi="Times New Roman"/>
          <w:sz w:val="28"/>
        </w:rPr>
        <w:t>4</w:t>
      </w:r>
      <w:r>
        <w:rPr>
          <w:rFonts w:ascii="Times New Roman" w:hAnsi="Times New Roman"/>
          <w:sz w:val="28"/>
        </w:rPr>
        <w:t>% опрошенных указали на одного поставщика.</w:t>
      </w:r>
    </w:p>
    <w:p w14:paraId="D5010000">
      <w:pPr>
        <w:pStyle w:val="Style_13"/>
        <w:spacing w:line="276" w:lineRule="auto"/>
        <w:ind/>
        <w:jc w:val="center"/>
        <w:rPr>
          <w:rFonts w:ascii="Times New Roman" w:hAnsi="Times New Roman"/>
          <w:sz w:val="28"/>
        </w:rPr>
      </w:pPr>
      <w:r>
        <w:rPr>
          <w:rFonts w:ascii="Times New Roman" w:hAnsi="Times New Roman"/>
          <w:sz w:val="28"/>
        </w:rPr>
        <w:drawing>
          <wp:inline>
            <wp:extent cx="5448808" cy="2590038"/>
            <wp:docPr hidden="false" id="20" name="Picture 20"/>
            <a:graphic>
              <a:graphicData uri="http://schemas.openxmlformats.org/drawingml/2006/picture">
                <pic:pic>
                  <pic:nvPicPr>
                    <pic:cNvPr hidden="false" id="19" name="Picture 19"/>
                    <pic:cNvPicPr preferRelativeResize="true"/>
                  </pic:nvPicPr>
                  <pic:blipFill>
                    <a:blip r:embed="rId13"/>
                    <a:srcRect b="0" l="0" r="0" t="0"/>
                    <a:stretch/>
                  </pic:blipFill>
                  <pic:spPr>
                    <a:xfrm flipH="false" flipV="false" rot="0">
                      <a:ext cx="5448808" cy="2590038"/>
                    </a:xfrm>
                    <a:prstGeom prst="rect"/>
                  </pic:spPr>
                </pic:pic>
              </a:graphicData>
            </a:graphic>
          </wp:inline>
        </w:drawing>
      </w:r>
    </w:p>
    <w:p w14:paraId="D6010000">
      <w:pPr>
        <w:pStyle w:val="Style_13"/>
        <w:spacing w:line="276" w:lineRule="auto"/>
        <w:ind/>
        <w:jc w:val="center"/>
        <w:rPr>
          <w:rFonts w:ascii="Times New Roman" w:hAnsi="Times New Roman"/>
        </w:rPr>
      </w:pPr>
      <w:r>
        <w:rPr>
          <w:rFonts w:ascii="Times New Roman" w:hAnsi="Times New Roman"/>
        </w:rPr>
        <w:t xml:space="preserve">Рисунок </w:t>
      </w:r>
      <w:r>
        <w:rPr>
          <w:rFonts w:ascii="Times New Roman" w:hAnsi="Times New Roman"/>
        </w:rPr>
        <w:t>1.10</w:t>
      </w:r>
      <w:r>
        <w:rPr>
          <w:rFonts w:ascii="Times New Roman" w:hAnsi="Times New Roman"/>
        </w:rPr>
        <w:t>. Распределение примерного числа поставщиков основного закупаемого товара (работы, услуги), % к опрошенным</w:t>
      </w:r>
    </w:p>
    <w:p w14:paraId="D7010000">
      <w:pPr>
        <w:pStyle w:val="Style_13"/>
        <w:spacing w:line="276" w:lineRule="auto"/>
        <w:ind w:firstLine="709" w:left="0"/>
        <w:jc w:val="both"/>
        <w:rPr>
          <w:rFonts w:ascii="Times New Roman" w:hAnsi="Times New Roman"/>
          <w:sz w:val="28"/>
        </w:rPr>
      </w:pPr>
      <w:r>
        <w:rPr>
          <w:rFonts w:ascii="Times New Roman" w:hAnsi="Times New Roman"/>
          <w:sz w:val="28"/>
        </w:rPr>
        <w:t xml:space="preserve">Удовлетворенность </w:t>
      </w:r>
      <w:r>
        <w:rPr>
          <w:rFonts w:ascii="Times New Roman" w:hAnsi="Times New Roman"/>
          <w:sz w:val="28"/>
        </w:rPr>
        <w:t>состоянием конкуренции между поставщиками респонденты оценили: удовлетворительное – 4</w:t>
      </w:r>
      <w:r>
        <w:rPr>
          <w:rFonts w:ascii="Times New Roman" w:hAnsi="Times New Roman"/>
          <w:sz w:val="28"/>
        </w:rPr>
        <w:t>8</w:t>
      </w:r>
      <w:r>
        <w:rPr>
          <w:rFonts w:ascii="Times New Roman" w:hAnsi="Times New Roman"/>
          <w:sz w:val="28"/>
        </w:rPr>
        <w:t xml:space="preserve">,0%, скорее удовлетворительное – </w:t>
      </w:r>
      <w:r>
        <w:rPr>
          <w:rFonts w:ascii="Times New Roman" w:hAnsi="Times New Roman"/>
          <w:sz w:val="28"/>
        </w:rPr>
        <w:t>19</w:t>
      </w:r>
      <w:r>
        <w:rPr>
          <w:rFonts w:ascii="Times New Roman" w:hAnsi="Times New Roman"/>
          <w:sz w:val="28"/>
        </w:rPr>
        <w:t>,0%, скорее неудовлетворительное – 1</w:t>
      </w:r>
      <w:r>
        <w:rPr>
          <w:rFonts w:ascii="Times New Roman" w:hAnsi="Times New Roman"/>
          <w:sz w:val="28"/>
        </w:rPr>
        <w:t>5</w:t>
      </w:r>
      <w:r>
        <w:rPr>
          <w:rFonts w:ascii="Times New Roman" w:hAnsi="Times New Roman"/>
          <w:sz w:val="28"/>
        </w:rPr>
        <w:t>,0%, затруднились ответить – 1</w:t>
      </w:r>
      <w:r>
        <w:rPr>
          <w:rFonts w:ascii="Times New Roman" w:hAnsi="Times New Roman"/>
          <w:sz w:val="28"/>
        </w:rPr>
        <w:t>9</w:t>
      </w:r>
      <w:r>
        <w:rPr>
          <w:rFonts w:ascii="Times New Roman" w:hAnsi="Times New Roman"/>
          <w:sz w:val="28"/>
        </w:rPr>
        <w:t xml:space="preserve">,0% и </w:t>
      </w:r>
      <w:r>
        <w:rPr>
          <w:rFonts w:ascii="Times New Roman" w:hAnsi="Times New Roman"/>
          <w:sz w:val="28"/>
        </w:rPr>
        <w:t>1</w:t>
      </w:r>
      <w:r>
        <w:rPr>
          <w:rFonts w:ascii="Times New Roman" w:hAnsi="Times New Roman"/>
          <w:sz w:val="28"/>
        </w:rPr>
        <w:t xml:space="preserve">% опрощенных посчитали, что </w:t>
      </w:r>
      <w:r>
        <w:rPr>
          <w:rFonts w:ascii="Times New Roman" w:hAnsi="Times New Roman"/>
          <w:sz w:val="28"/>
        </w:rPr>
        <w:t>удовлетворенность состоянием конкуренции</w:t>
      </w:r>
      <w:r>
        <w:rPr>
          <w:rFonts w:ascii="Times New Roman" w:hAnsi="Times New Roman"/>
          <w:sz w:val="28"/>
        </w:rPr>
        <w:t xml:space="preserve"> неудовлетворительн</w:t>
      </w:r>
      <w:r>
        <w:rPr>
          <w:rFonts w:ascii="Times New Roman" w:hAnsi="Times New Roman"/>
          <w:sz w:val="28"/>
        </w:rPr>
        <w:t>ое</w:t>
      </w:r>
      <w:r>
        <w:rPr>
          <w:rFonts w:ascii="Times New Roman" w:hAnsi="Times New Roman"/>
          <w:sz w:val="28"/>
        </w:rPr>
        <w:t xml:space="preserve"> (рисунок </w:t>
      </w:r>
      <w:r>
        <w:rPr>
          <w:rFonts w:ascii="Times New Roman" w:hAnsi="Times New Roman"/>
          <w:sz w:val="28"/>
        </w:rPr>
        <w:t>1.</w:t>
      </w:r>
      <w:r>
        <w:rPr>
          <w:rFonts w:ascii="Times New Roman" w:hAnsi="Times New Roman"/>
          <w:sz w:val="28"/>
        </w:rPr>
        <w:t>1</w:t>
      </w:r>
      <w:r>
        <w:rPr>
          <w:rFonts w:ascii="Times New Roman" w:hAnsi="Times New Roman"/>
          <w:sz w:val="28"/>
        </w:rPr>
        <w:t>1</w:t>
      </w:r>
      <w:r>
        <w:rPr>
          <w:rFonts w:ascii="Times New Roman" w:hAnsi="Times New Roman"/>
          <w:sz w:val="28"/>
        </w:rPr>
        <w:t xml:space="preserve">.) </w:t>
      </w:r>
    </w:p>
    <w:p w14:paraId="D8010000">
      <w:pPr>
        <w:pStyle w:val="Style_13"/>
        <w:spacing w:line="276" w:lineRule="auto"/>
        <w:ind/>
        <w:jc w:val="center"/>
        <w:rPr>
          <w:rFonts w:ascii="Times New Roman" w:hAnsi="Times New Roman"/>
          <w:sz w:val="28"/>
        </w:rPr>
      </w:pPr>
      <w:r>
        <w:rPr>
          <w:rFonts w:ascii="Times New Roman" w:hAnsi="Times New Roman"/>
          <w:sz w:val="28"/>
        </w:rPr>
        <w:drawing>
          <wp:inline>
            <wp:extent cx="5279009" cy="1990725"/>
            <wp:docPr hidden="false" id="22" name="Picture 22"/>
            <a:graphic>
              <a:graphicData uri="http://schemas.openxmlformats.org/drawingml/2006/picture">
                <pic:pic>
                  <pic:nvPicPr>
                    <pic:cNvPr hidden="false" id="21" name="Picture 21"/>
                    <pic:cNvPicPr preferRelativeResize="true"/>
                  </pic:nvPicPr>
                  <pic:blipFill>
                    <a:blip r:embed="rId14"/>
                    <a:srcRect b="0" l="0" r="0" t="0"/>
                    <a:stretch/>
                  </pic:blipFill>
                  <pic:spPr>
                    <a:xfrm flipH="false" flipV="false" rot="0">
                      <a:ext cx="5279009" cy="1990725"/>
                    </a:xfrm>
                    <a:prstGeom prst="rect"/>
                  </pic:spPr>
                </pic:pic>
              </a:graphicData>
            </a:graphic>
          </wp:inline>
        </w:drawing>
      </w:r>
    </w:p>
    <w:p w14:paraId="D9010000">
      <w:pPr>
        <w:pStyle w:val="Style_13"/>
        <w:spacing w:line="276" w:lineRule="auto"/>
        <w:ind/>
        <w:jc w:val="center"/>
        <w:rPr>
          <w:rFonts w:ascii="Times New Roman" w:hAnsi="Times New Roman"/>
        </w:rPr>
      </w:pPr>
      <w:r>
        <w:rPr>
          <w:rFonts w:ascii="Times New Roman" w:hAnsi="Times New Roman"/>
        </w:rPr>
        <w:t xml:space="preserve">Рисунок </w:t>
      </w:r>
      <w:r>
        <w:rPr>
          <w:rFonts w:ascii="Times New Roman" w:hAnsi="Times New Roman"/>
        </w:rPr>
        <w:t>1.</w:t>
      </w:r>
      <w:r>
        <w:rPr>
          <w:rFonts w:ascii="Times New Roman" w:hAnsi="Times New Roman"/>
        </w:rPr>
        <w:t>1</w:t>
      </w:r>
      <w:r>
        <w:rPr>
          <w:rFonts w:ascii="Times New Roman" w:hAnsi="Times New Roman"/>
        </w:rPr>
        <w:t>1</w:t>
      </w:r>
      <w:r>
        <w:rPr>
          <w:rFonts w:ascii="Times New Roman" w:hAnsi="Times New Roman"/>
        </w:rPr>
        <w:t>. Распределение удовлетворенности состоянием конкуренции между поставщиками, % к опрошенным</w:t>
      </w:r>
    </w:p>
    <w:p w14:paraId="DA010000">
      <w:pPr>
        <w:pStyle w:val="Style_13"/>
        <w:spacing w:line="276" w:lineRule="auto"/>
        <w:ind/>
        <w:jc w:val="center"/>
        <w:rPr>
          <w:rFonts w:ascii="Times New Roman" w:hAnsi="Times New Roman"/>
          <w:b w:val="1"/>
          <w:sz w:val="28"/>
        </w:rPr>
      </w:pPr>
      <w:r>
        <w:rPr>
          <w:rFonts w:ascii="Times New Roman" w:hAnsi="Times New Roman"/>
          <w:b w:val="1"/>
          <w:sz w:val="28"/>
        </w:rPr>
        <w:t xml:space="preserve">Мнение субъектов предпринимательской деятельности о качестве официальной информации о состоянии конкурентной среды на рынках товаров и услуг </w:t>
      </w:r>
      <w:r>
        <w:rPr>
          <w:rFonts w:ascii="Times New Roman" w:hAnsi="Times New Roman"/>
          <w:b w:val="1"/>
          <w:sz w:val="28"/>
        </w:rPr>
        <w:t>города Волгодонска</w:t>
      </w:r>
      <w:r>
        <w:rPr>
          <w:rFonts w:ascii="Times New Roman" w:hAnsi="Times New Roman"/>
          <w:b w:val="1"/>
          <w:sz w:val="28"/>
        </w:rPr>
        <w:t xml:space="preserve"> и деятельности по содействию развитию конкуренции, размещаемой в открытом доступе</w:t>
      </w:r>
    </w:p>
    <w:p w14:paraId="DB010000">
      <w:pPr>
        <w:pStyle w:val="Style_13"/>
        <w:spacing w:line="276" w:lineRule="auto"/>
        <w:ind w:firstLine="709" w:left="0"/>
        <w:jc w:val="both"/>
        <w:rPr>
          <w:rFonts w:ascii="Times New Roman" w:hAnsi="Times New Roman"/>
          <w:sz w:val="28"/>
        </w:rPr>
      </w:pPr>
    </w:p>
    <w:p w14:paraId="DC010000">
      <w:pPr>
        <w:pStyle w:val="Style_13"/>
        <w:spacing w:line="276" w:lineRule="auto"/>
        <w:ind w:firstLine="709" w:left="0"/>
        <w:jc w:val="both"/>
        <w:rPr>
          <w:rFonts w:ascii="Times New Roman" w:hAnsi="Times New Roman"/>
          <w:sz w:val="28"/>
        </w:rPr>
      </w:pPr>
      <w:r>
        <w:rPr>
          <w:rFonts w:ascii="Times New Roman" w:hAnsi="Times New Roman"/>
          <w:sz w:val="28"/>
        </w:rPr>
        <w:t>Повышение уровня информационной открытости деятельности органов местного самоуправления, в том числе по вопросу о состоянии конкурентной среды на рынках товаров и услуг города, является одной из основных задач по развитию конкуренции.</w:t>
      </w:r>
    </w:p>
    <w:p w14:paraId="DD010000">
      <w:pPr>
        <w:spacing w:after="0"/>
        <w:ind w:firstLine="561" w:left="23" w:right="23"/>
        <w:jc w:val="both"/>
        <w:rPr>
          <w:rFonts w:ascii="Times New Roman" w:hAnsi="Times New Roman"/>
          <w:color w:val="000000"/>
          <w:sz w:val="28"/>
        </w:rPr>
      </w:pPr>
      <w:r>
        <w:rPr>
          <w:rFonts w:ascii="Times New Roman" w:hAnsi="Times New Roman"/>
          <w:color w:val="000000"/>
          <w:sz w:val="28"/>
        </w:rPr>
        <w:t xml:space="preserve">Респондентами было оценено качество официальной информации о состоянии конкурентной среды на рынках товаров и услуг города (количество участников, данные о перспективах развития конкретных рынков, барьеры входа на рынки и т.д.) и деятельность по содействию развитию конкуренции, размещаемой в открытом доступе. </w:t>
      </w:r>
    </w:p>
    <w:p w14:paraId="DE010000">
      <w:pPr>
        <w:spacing w:after="0"/>
        <w:ind w:firstLine="561" w:left="23" w:right="23"/>
        <w:jc w:val="both"/>
        <w:rPr>
          <w:rFonts w:ascii="Times New Roman" w:hAnsi="Times New Roman"/>
          <w:color w:val="000000"/>
          <w:sz w:val="28"/>
        </w:rPr>
      </w:pPr>
      <w:r>
        <w:rPr>
          <w:rFonts w:ascii="Times New Roman" w:hAnsi="Times New Roman"/>
          <w:color w:val="000000"/>
          <w:sz w:val="28"/>
        </w:rPr>
        <w:t>П</w:t>
      </w:r>
      <w:r>
        <w:rPr>
          <w:rFonts w:ascii="Times New Roman" w:hAnsi="Times New Roman"/>
          <w:color w:val="000000"/>
          <w:sz w:val="28"/>
        </w:rPr>
        <w:t xml:space="preserve">о уровню доступности (рисунок </w:t>
      </w:r>
      <w:r>
        <w:rPr>
          <w:rFonts w:ascii="Times New Roman" w:hAnsi="Times New Roman"/>
          <w:color w:val="000000"/>
          <w:sz w:val="28"/>
        </w:rPr>
        <w:t>1.</w:t>
      </w:r>
      <w:r>
        <w:rPr>
          <w:rFonts w:ascii="Times New Roman" w:hAnsi="Times New Roman"/>
          <w:color w:val="000000"/>
          <w:sz w:val="28"/>
        </w:rPr>
        <w:t>1</w:t>
      </w:r>
      <w:r>
        <w:rPr>
          <w:rFonts w:ascii="Times New Roman" w:hAnsi="Times New Roman"/>
          <w:color w:val="000000"/>
          <w:sz w:val="28"/>
        </w:rPr>
        <w:t>2</w:t>
      </w:r>
      <w:r>
        <w:rPr>
          <w:rFonts w:ascii="Times New Roman" w:hAnsi="Times New Roman"/>
          <w:color w:val="000000"/>
          <w:sz w:val="28"/>
        </w:rPr>
        <w:t>.), результаты опроса показали, что бизнес оценивает деятельность по развитию конкуренции удовлетворительной (</w:t>
      </w:r>
      <w:r>
        <w:rPr>
          <w:rFonts w:ascii="Times New Roman" w:hAnsi="Times New Roman"/>
          <w:color w:val="000000"/>
          <w:sz w:val="28"/>
        </w:rPr>
        <w:t>67</w:t>
      </w:r>
      <w:r>
        <w:rPr>
          <w:rFonts w:ascii="Times New Roman" w:hAnsi="Times New Roman"/>
          <w:color w:val="000000"/>
          <w:sz w:val="28"/>
        </w:rPr>
        <w:t xml:space="preserve">%). При этом </w:t>
      </w:r>
      <w:r>
        <w:rPr>
          <w:rFonts w:ascii="Times New Roman" w:hAnsi="Times New Roman"/>
          <w:color w:val="000000"/>
          <w:sz w:val="28"/>
        </w:rPr>
        <w:t>20%</w:t>
      </w:r>
      <w:r>
        <w:rPr>
          <w:rFonts w:ascii="Times New Roman" w:hAnsi="Times New Roman"/>
          <w:color w:val="000000"/>
          <w:sz w:val="28"/>
        </w:rPr>
        <w:t xml:space="preserve"> респондентов считают ее неудовлетворительной, а </w:t>
      </w:r>
      <w:r>
        <w:rPr>
          <w:rFonts w:ascii="Times New Roman" w:hAnsi="Times New Roman"/>
          <w:color w:val="000000"/>
          <w:sz w:val="28"/>
        </w:rPr>
        <w:t>13</w:t>
      </w:r>
      <w:r>
        <w:rPr>
          <w:rFonts w:ascii="Times New Roman" w:hAnsi="Times New Roman"/>
          <w:color w:val="000000"/>
          <w:sz w:val="28"/>
        </w:rPr>
        <w:t>% информации о развитии конкуренции не нашли.</w:t>
      </w:r>
    </w:p>
    <w:p w14:paraId="DF010000">
      <w:pPr>
        <w:spacing w:after="0"/>
        <w:ind w:firstLine="561" w:left="23" w:right="23"/>
        <w:jc w:val="center"/>
        <w:rPr>
          <w:rFonts w:ascii="Times New Roman" w:hAnsi="Times New Roman"/>
          <w:color w:val="000000"/>
          <w:sz w:val="28"/>
        </w:rPr>
      </w:pPr>
      <w:r>
        <w:rPr>
          <w:rFonts w:ascii="Times New Roman" w:hAnsi="Times New Roman"/>
          <w:color w:val="000000"/>
          <w:sz w:val="28"/>
        </w:rPr>
        <w:drawing>
          <wp:inline>
            <wp:extent cx="5132070" cy="2152904"/>
            <wp:docPr hidden="false" id="24" name="Picture 24"/>
            <a:graphic>
              <a:graphicData uri="http://schemas.openxmlformats.org/drawingml/2006/picture">
                <pic:pic>
                  <pic:nvPicPr>
                    <pic:cNvPr hidden="false" id="23" name="Picture 23"/>
                    <pic:cNvPicPr preferRelativeResize="true"/>
                  </pic:nvPicPr>
                  <pic:blipFill>
                    <a:blip r:embed="rId15"/>
                    <a:srcRect b="0" l="0" r="0" t="0"/>
                    <a:stretch/>
                  </pic:blipFill>
                  <pic:spPr>
                    <a:xfrm flipH="false" flipV="false" rot="0">
                      <a:ext cx="5132070" cy="2152904"/>
                    </a:xfrm>
                    <a:prstGeom prst="rect"/>
                  </pic:spPr>
                </pic:pic>
              </a:graphicData>
            </a:graphic>
          </wp:inline>
        </w:drawing>
      </w:r>
    </w:p>
    <w:p w14:paraId="E0010000">
      <w:pPr>
        <w:pStyle w:val="Style_13"/>
        <w:spacing w:line="276" w:lineRule="auto"/>
        <w:ind/>
        <w:jc w:val="center"/>
        <w:rPr>
          <w:rFonts w:ascii="Times New Roman" w:hAnsi="Times New Roman"/>
        </w:rPr>
      </w:pPr>
      <w:r>
        <w:rPr>
          <w:rFonts w:ascii="Times New Roman" w:hAnsi="Times New Roman"/>
        </w:rPr>
        <w:t xml:space="preserve">Рисунок </w:t>
      </w:r>
      <w:r>
        <w:rPr>
          <w:rFonts w:ascii="Times New Roman" w:hAnsi="Times New Roman"/>
        </w:rPr>
        <w:t>1.</w:t>
      </w:r>
      <w:r>
        <w:rPr>
          <w:rFonts w:ascii="Times New Roman" w:hAnsi="Times New Roman"/>
        </w:rPr>
        <w:t>1</w:t>
      </w:r>
      <w:r>
        <w:rPr>
          <w:rFonts w:ascii="Times New Roman" w:hAnsi="Times New Roman"/>
        </w:rPr>
        <w:t>2</w:t>
      </w:r>
      <w:r>
        <w:rPr>
          <w:rFonts w:ascii="Times New Roman" w:hAnsi="Times New Roman"/>
        </w:rPr>
        <w:t xml:space="preserve">. Распределение предприятий и организаций относительно степени удовлетворенности состоянием </w:t>
      </w:r>
      <w:r>
        <w:rPr>
          <w:rFonts w:ascii="Times New Roman" w:hAnsi="Times New Roman"/>
          <w:color w:val="000000"/>
        </w:rPr>
        <w:t>конкурентной среды на рынках товаров и услуг города (количество участников, данные о перспективах развития конкретных рынков, барьеры входа на рынки и т.д.) и деятельность по содействию развитию конкуренции, размещаемой в открытом доступе (уровень доступности)</w:t>
      </w:r>
      <w:r>
        <w:rPr>
          <w:rFonts w:ascii="Times New Roman" w:hAnsi="Times New Roman"/>
        </w:rPr>
        <w:t>, % к опрошенным</w:t>
      </w:r>
    </w:p>
    <w:p w14:paraId="E1010000">
      <w:pPr>
        <w:pStyle w:val="Style_13"/>
        <w:spacing w:line="276" w:lineRule="auto"/>
        <w:ind w:firstLine="709" w:left="0"/>
        <w:jc w:val="both"/>
        <w:rPr>
          <w:rFonts w:ascii="Times New Roman" w:hAnsi="Times New Roman"/>
          <w:sz w:val="28"/>
        </w:rPr>
      </w:pPr>
      <w:r>
        <w:rPr>
          <w:rFonts w:ascii="Times New Roman" w:hAnsi="Times New Roman"/>
          <w:sz w:val="28"/>
        </w:rPr>
        <w:t xml:space="preserve">По уровню понятности (рисунок </w:t>
      </w:r>
      <w:r>
        <w:rPr>
          <w:rFonts w:ascii="Times New Roman" w:hAnsi="Times New Roman"/>
          <w:sz w:val="28"/>
        </w:rPr>
        <w:t>1.</w:t>
      </w:r>
      <w:r>
        <w:rPr>
          <w:rFonts w:ascii="Times New Roman" w:hAnsi="Times New Roman"/>
          <w:sz w:val="28"/>
        </w:rPr>
        <w:t>1</w:t>
      </w:r>
      <w:r>
        <w:rPr>
          <w:rFonts w:ascii="Times New Roman" w:hAnsi="Times New Roman"/>
          <w:sz w:val="28"/>
        </w:rPr>
        <w:t>3</w:t>
      </w:r>
      <w:r>
        <w:rPr>
          <w:rFonts w:ascii="Times New Roman" w:hAnsi="Times New Roman"/>
          <w:sz w:val="28"/>
        </w:rPr>
        <w:t xml:space="preserve">.) мнение распределись следующим образом: </w:t>
      </w:r>
      <w:r>
        <w:rPr>
          <w:rFonts w:ascii="Times New Roman" w:hAnsi="Times New Roman"/>
          <w:sz w:val="28"/>
        </w:rPr>
        <w:t>67</w:t>
      </w:r>
      <w:r>
        <w:rPr>
          <w:rFonts w:ascii="Times New Roman" w:hAnsi="Times New Roman"/>
          <w:sz w:val="28"/>
        </w:rPr>
        <w:t xml:space="preserve">% от опрошенных респондентов считает, что удовлетворены; </w:t>
      </w:r>
      <w:r>
        <w:rPr>
          <w:rFonts w:ascii="Times New Roman" w:hAnsi="Times New Roman"/>
          <w:sz w:val="28"/>
        </w:rPr>
        <w:t>19</w:t>
      </w:r>
      <w:r>
        <w:rPr>
          <w:rFonts w:ascii="Times New Roman" w:hAnsi="Times New Roman"/>
          <w:sz w:val="28"/>
        </w:rPr>
        <w:t xml:space="preserve">% – не удовлетворены, а не нашли </w:t>
      </w:r>
      <w:r>
        <w:rPr>
          <w:rFonts w:ascii="Times New Roman" w:hAnsi="Times New Roman"/>
          <w:sz w:val="28"/>
        </w:rPr>
        <w:t xml:space="preserve">нужной </w:t>
      </w:r>
      <w:r>
        <w:rPr>
          <w:rFonts w:ascii="Times New Roman" w:hAnsi="Times New Roman"/>
          <w:sz w:val="28"/>
        </w:rPr>
        <w:t xml:space="preserve">информации – </w:t>
      </w:r>
      <w:r>
        <w:rPr>
          <w:rFonts w:ascii="Times New Roman" w:hAnsi="Times New Roman"/>
          <w:sz w:val="28"/>
        </w:rPr>
        <w:t>14</w:t>
      </w:r>
      <w:r>
        <w:rPr>
          <w:rFonts w:ascii="Times New Roman" w:hAnsi="Times New Roman"/>
          <w:sz w:val="28"/>
        </w:rPr>
        <w:t xml:space="preserve">% </w:t>
      </w:r>
    </w:p>
    <w:p w14:paraId="E2010000">
      <w:pPr>
        <w:pStyle w:val="Style_13"/>
        <w:spacing w:line="276" w:lineRule="auto"/>
        <w:ind w:firstLine="709" w:left="0"/>
        <w:jc w:val="center"/>
        <w:rPr>
          <w:rFonts w:ascii="Times New Roman" w:hAnsi="Times New Roman"/>
          <w:sz w:val="28"/>
        </w:rPr>
      </w:pPr>
      <w:r>
        <w:rPr>
          <w:rFonts w:ascii="Times New Roman" w:hAnsi="Times New Roman"/>
          <w:sz w:val="28"/>
        </w:rPr>
        <w:drawing>
          <wp:inline>
            <wp:extent cx="5219319" cy="2229866"/>
            <wp:docPr hidden="false" id="26" name="Picture 26"/>
            <a:graphic>
              <a:graphicData uri="http://schemas.openxmlformats.org/drawingml/2006/picture">
                <pic:pic>
                  <pic:nvPicPr>
                    <pic:cNvPr hidden="false" id="25" name="Picture 25"/>
                    <pic:cNvPicPr preferRelativeResize="true"/>
                  </pic:nvPicPr>
                  <pic:blipFill>
                    <a:blip r:embed="rId16"/>
                    <a:srcRect b="0" l="0" r="0" t="0"/>
                    <a:stretch/>
                  </pic:blipFill>
                  <pic:spPr>
                    <a:xfrm flipH="false" flipV="false" rot="0">
                      <a:ext cx="5219319" cy="2229866"/>
                    </a:xfrm>
                    <a:prstGeom prst="rect"/>
                  </pic:spPr>
                </pic:pic>
              </a:graphicData>
            </a:graphic>
          </wp:inline>
        </w:drawing>
      </w:r>
    </w:p>
    <w:p w14:paraId="E3010000">
      <w:pPr>
        <w:pStyle w:val="Style_13"/>
        <w:spacing w:line="276" w:lineRule="auto"/>
        <w:ind/>
        <w:jc w:val="center"/>
        <w:rPr>
          <w:rFonts w:ascii="Times New Roman" w:hAnsi="Times New Roman"/>
        </w:rPr>
      </w:pPr>
      <w:r>
        <w:rPr>
          <w:rFonts w:ascii="Times New Roman" w:hAnsi="Times New Roman"/>
        </w:rPr>
        <w:t xml:space="preserve">Рисунок </w:t>
      </w:r>
      <w:r>
        <w:rPr>
          <w:rFonts w:ascii="Times New Roman" w:hAnsi="Times New Roman"/>
        </w:rPr>
        <w:t>1.</w:t>
      </w:r>
      <w:r>
        <w:rPr>
          <w:rFonts w:ascii="Times New Roman" w:hAnsi="Times New Roman"/>
        </w:rPr>
        <w:t>1</w:t>
      </w:r>
      <w:r>
        <w:rPr>
          <w:rFonts w:ascii="Times New Roman" w:hAnsi="Times New Roman"/>
        </w:rPr>
        <w:t>3</w:t>
      </w:r>
      <w:r>
        <w:rPr>
          <w:rFonts w:ascii="Times New Roman" w:hAnsi="Times New Roman"/>
        </w:rPr>
        <w:t xml:space="preserve">. Распределение предприятий и организаций относительно степени удовлетворенности состоянием </w:t>
      </w:r>
      <w:r>
        <w:rPr>
          <w:rFonts w:ascii="Times New Roman" w:hAnsi="Times New Roman"/>
          <w:color w:val="000000"/>
        </w:rPr>
        <w:t>конкурентной среды на рынках товаров и услуг города (количество участников, данные о перспективах развития конкретных рынков, барьеры входа на рынки и т.д.) и деятельность по содействию развитию конкуренции, размещаемой в открытом доступе (уровень понятности)</w:t>
      </w:r>
      <w:r>
        <w:rPr>
          <w:rFonts w:ascii="Times New Roman" w:hAnsi="Times New Roman"/>
        </w:rPr>
        <w:t>, % к опрошенным</w:t>
      </w:r>
    </w:p>
    <w:p w14:paraId="E4010000">
      <w:pPr>
        <w:pStyle w:val="Style_13"/>
        <w:spacing w:line="276" w:lineRule="auto"/>
        <w:ind w:firstLine="709" w:left="0"/>
        <w:jc w:val="both"/>
        <w:rPr>
          <w:rFonts w:ascii="Times New Roman" w:hAnsi="Times New Roman"/>
          <w:sz w:val="12"/>
        </w:rPr>
      </w:pPr>
    </w:p>
    <w:p w14:paraId="E5010000">
      <w:pPr>
        <w:pStyle w:val="Style_12"/>
        <w:spacing w:before="0"/>
        <w:ind/>
        <w:jc w:val="center"/>
        <w:rPr>
          <w:rFonts w:ascii="Times New Roman" w:hAnsi="Times New Roman"/>
          <w:color w:val="000000"/>
          <w:sz w:val="28"/>
        </w:rPr>
      </w:pPr>
      <w:r>
        <w:rPr>
          <w:rFonts w:ascii="Times New Roman" w:hAnsi="Times New Roman"/>
          <w:color w:val="000000"/>
          <w:sz w:val="28"/>
        </w:rPr>
        <w:t>Оценка административных барьеров ведения предпринимательской деятельности</w:t>
      </w:r>
    </w:p>
    <w:p w14:paraId="E6010000">
      <w:pPr>
        <w:pStyle w:val="Style_13"/>
        <w:spacing w:line="276" w:lineRule="auto"/>
        <w:ind w:firstLine="709" w:left="0"/>
        <w:jc w:val="both"/>
        <w:rPr>
          <w:rFonts w:ascii="Times New Roman" w:hAnsi="Times New Roman"/>
          <w:sz w:val="2"/>
        </w:rPr>
      </w:pPr>
    </w:p>
    <w:p w14:paraId="E7010000">
      <w:pPr>
        <w:spacing w:after="0"/>
        <w:ind w:firstLine="709" w:left="0"/>
        <w:jc w:val="both"/>
        <w:rPr>
          <w:rFonts w:ascii="Times New Roman" w:hAnsi="Times New Roman"/>
          <w:sz w:val="28"/>
        </w:rPr>
      </w:pPr>
      <w:r>
        <w:rPr>
          <w:rFonts w:ascii="Times New Roman" w:hAnsi="Times New Roman"/>
          <w:sz w:val="28"/>
        </w:rPr>
        <w:t xml:space="preserve">Одним из факторов, негативно влияющих на развитие конкурентной среды, являются административные </w:t>
      </w:r>
      <w:r>
        <w:rPr>
          <w:rFonts w:ascii="Times New Roman" w:hAnsi="Times New Roman"/>
          <w:sz w:val="28"/>
        </w:rPr>
        <w:t>барьеры.</w:t>
      </w:r>
    </w:p>
    <w:p w14:paraId="E8010000">
      <w:pPr>
        <w:spacing w:after="0"/>
        <w:ind w:firstLine="709" w:left="0"/>
        <w:jc w:val="both"/>
        <w:rPr>
          <w:rFonts w:ascii="Times New Roman" w:hAnsi="Times New Roman"/>
          <w:sz w:val="28"/>
        </w:rPr>
      </w:pPr>
      <w:r>
        <w:rPr>
          <w:rFonts w:ascii="Times New Roman" w:hAnsi="Times New Roman"/>
          <w:sz w:val="28"/>
        </w:rPr>
        <w:t>С целью оценки барьеров ведения предпринимательской деятельности респондентам был предложен перечень административных барьеров, из которых необходимо было выбрать несколько, наиболее оказывающих влияние на ведение текущей деятельности или открытие нового бизнеса на рынке. Респонденты также имели возможность указать в анкетах свои варианты ответов.</w:t>
      </w:r>
    </w:p>
    <w:p w14:paraId="E9010000">
      <w:pPr>
        <w:spacing w:after="0"/>
        <w:ind w:firstLine="709" w:left="0"/>
        <w:jc w:val="both"/>
        <w:rPr>
          <w:rFonts w:ascii="Times New Roman" w:hAnsi="Times New Roman"/>
          <w:sz w:val="2"/>
        </w:rPr>
      </w:pPr>
      <w:r>
        <w:rPr>
          <w:rFonts w:ascii="Times New Roman" w:hAnsi="Times New Roman"/>
          <w:sz w:val="28"/>
        </w:rPr>
        <w:t>По мнению респондентов наибольшее отрицательное влияние на деятельность бизнеса в городе в 2021 году, как и в предыдущие годы оказывают высокие налоги. На этот административный барьер пришлось 57%. (рисунок 1.14.).</w:t>
      </w:r>
      <w:r>
        <w:rPr>
          <w:rFonts w:ascii="Times New Roman" w:hAnsi="Times New Roman"/>
          <w:sz w:val="28"/>
        </w:rPr>
        <w:t xml:space="preserve"> </w:t>
      </w:r>
    </w:p>
    <w:p w14:paraId="EA010000">
      <w:pPr>
        <w:spacing w:after="0"/>
        <w:ind/>
        <w:jc w:val="center"/>
        <w:rPr>
          <w:rFonts w:ascii="Times New Roman" w:hAnsi="Times New Roman"/>
          <w:sz w:val="28"/>
        </w:rPr>
      </w:pPr>
      <w:r>
        <w:rPr>
          <w:rFonts w:ascii="Times New Roman" w:hAnsi="Times New Roman"/>
          <w:sz w:val="28"/>
        </w:rPr>
        <w:drawing>
          <wp:inline>
            <wp:extent cx="5173345" cy="2715133"/>
            <wp:docPr hidden="false" id="28" name="Picture 28"/>
            <a:graphic>
              <a:graphicData uri="http://schemas.openxmlformats.org/drawingml/2006/picture">
                <pic:pic>
                  <pic:nvPicPr>
                    <pic:cNvPr hidden="false" id="27" name="Picture 27"/>
                    <pic:cNvPicPr preferRelativeResize="true"/>
                  </pic:nvPicPr>
                  <pic:blipFill>
                    <a:blip r:embed="rId17"/>
                    <a:srcRect b="0" l="0" r="0" t="0"/>
                    <a:stretch/>
                  </pic:blipFill>
                  <pic:spPr>
                    <a:xfrm flipH="false" flipV="false" rot="0">
                      <a:ext cx="5173345" cy="2715133"/>
                    </a:xfrm>
                    <a:prstGeom prst="rect"/>
                  </pic:spPr>
                </pic:pic>
              </a:graphicData>
            </a:graphic>
          </wp:inline>
        </w:drawing>
      </w:r>
    </w:p>
    <w:p w14:paraId="EB010000">
      <w:pPr>
        <w:spacing w:after="0"/>
        <w:ind/>
        <w:jc w:val="center"/>
        <w:rPr>
          <w:rFonts w:ascii="Times New Roman" w:hAnsi="Times New Roman"/>
          <w:sz w:val="20"/>
        </w:rPr>
      </w:pPr>
      <w:r>
        <w:rPr>
          <w:rFonts w:ascii="Times New Roman" w:hAnsi="Times New Roman"/>
          <w:sz w:val="20"/>
        </w:rPr>
        <w:t xml:space="preserve">Рисунок </w:t>
      </w:r>
      <w:r>
        <w:rPr>
          <w:rFonts w:ascii="Times New Roman" w:hAnsi="Times New Roman"/>
          <w:sz w:val="20"/>
        </w:rPr>
        <w:t>1.</w:t>
      </w:r>
      <w:r>
        <w:rPr>
          <w:rFonts w:ascii="Times New Roman" w:hAnsi="Times New Roman"/>
          <w:sz w:val="20"/>
        </w:rPr>
        <w:t>1</w:t>
      </w:r>
      <w:r>
        <w:rPr>
          <w:rFonts w:ascii="Times New Roman" w:hAnsi="Times New Roman"/>
          <w:sz w:val="20"/>
        </w:rPr>
        <w:t>4</w:t>
      </w:r>
      <w:r>
        <w:rPr>
          <w:rFonts w:ascii="Times New Roman" w:hAnsi="Times New Roman"/>
          <w:sz w:val="20"/>
        </w:rPr>
        <w:t>. Наиболее существенные административные барьеры для ведения текущей деятельности или открытия нового бизнеса, % к общему количеству ответов</w:t>
      </w:r>
    </w:p>
    <w:p w14:paraId="EC010000">
      <w:pPr>
        <w:spacing w:after="0"/>
        <w:ind w:firstLine="709" w:left="0"/>
        <w:jc w:val="both"/>
        <w:rPr>
          <w:rFonts w:ascii="Times New Roman" w:hAnsi="Times New Roman"/>
          <w:sz w:val="28"/>
        </w:rPr>
      </w:pPr>
    </w:p>
    <w:p w14:paraId="ED010000">
      <w:pPr>
        <w:spacing w:after="0"/>
        <w:ind w:firstLine="709" w:left="0"/>
        <w:jc w:val="both"/>
        <w:rPr>
          <w:rFonts w:ascii="Times New Roman" w:hAnsi="Times New Roman"/>
          <w:sz w:val="28"/>
        </w:rPr>
      </w:pPr>
      <w:r>
        <w:rPr>
          <w:rFonts w:ascii="Times New Roman" w:hAnsi="Times New Roman"/>
          <w:sz w:val="28"/>
        </w:rPr>
        <w:t xml:space="preserve">На втором месте </w:t>
      </w:r>
      <w:r>
        <w:rPr>
          <w:rFonts w:ascii="Times New Roman" w:hAnsi="Times New Roman"/>
          <w:sz w:val="28"/>
        </w:rPr>
        <w:t xml:space="preserve">по частоте выбора оказался такой барьер, как нестабильность российского законодательства, регулирующего предпринимательскую деятельность </w:t>
      </w:r>
      <w:r>
        <w:rPr>
          <w:rFonts w:ascii="Times New Roman" w:hAnsi="Times New Roman"/>
          <w:sz w:val="28"/>
        </w:rPr>
        <w:t xml:space="preserve">и нестабильность экономики, в условиях пандемии </w:t>
      </w:r>
      <w:r>
        <w:rPr>
          <w:rFonts w:ascii="Times New Roman" w:hAnsi="Times New Roman"/>
          <w:sz w:val="28"/>
        </w:rPr>
        <w:t>2</w:t>
      </w:r>
      <w:r>
        <w:rPr>
          <w:rFonts w:ascii="Times New Roman" w:hAnsi="Times New Roman"/>
          <w:sz w:val="28"/>
        </w:rPr>
        <w:t>8</w:t>
      </w:r>
      <w:r>
        <w:rPr>
          <w:rFonts w:ascii="Times New Roman" w:hAnsi="Times New Roman"/>
          <w:sz w:val="28"/>
        </w:rPr>
        <w:t xml:space="preserve"> % (</w:t>
      </w:r>
      <w:r>
        <w:rPr>
          <w:rFonts w:ascii="Times New Roman" w:hAnsi="Times New Roman"/>
          <w:sz w:val="28"/>
        </w:rPr>
        <w:t>30</w:t>
      </w:r>
      <w:r>
        <w:rPr>
          <w:rFonts w:ascii="Times New Roman" w:hAnsi="Times New Roman"/>
          <w:sz w:val="28"/>
        </w:rPr>
        <w:t>% в 20</w:t>
      </w:r>
      <w:r>
        <w:rPr>
          <w:rFonts w:ascii="Times New Roman" w:hAnsi="Times New Roman"/>
          <w:sz w:val="28"/>
        </w:rPr>
        <w:t>20</w:t>
      </w:r>
      <w:r>
        <w:rPr>
          <w:rFonts w:ascii="Times New Roman" w:hAnsi="Times New Roman"/>
          <w:sz w:val="28"/>
        </w:rPr>
        <w:t xml:space="preserve"> году).</w:t>
      </w:r>
    </w:p>
    <w:p w14:paraId="EE010000">
      <w:pPr>
        <w:spacing w:after="0"/>
        <w:ind w:firstLine="709" w:left="0"/>
        <w:jc w:val="both"/>
        <w:rPr>
          <w:rFonts w:ascii="Times New Roman" w:hAnsi="Times New Roman"/>
          <w:sz w:val="28"/>
        </w:rPr>
      </w:pPr>
      <w:r>
        <w:rPr>
          <w:rFonts w:ascii="Times New Roman" w:hAnsi="Times New Roman"/>
          <w:sz w:val="28"/>
        </w:rPr>
        <w:t xml:space="preserve">56% от числа респондентов отметила, что имеющиеся административные барьеры преодолимы без существенных затрат. </w:t>
      </w:r>
    </w:p>
    <w:p w14:paraId="EF010000">
      <w:pPr>
        <w:spacing w:after="0"/>
        <w:ind w:firstLine="709" w:left="0"/>
        <w:jc w:val="both"/>
        <w:rPr>
          <w:rFonts w:ascii="Times New Roman" w:hAnsi="Times New Roman"/>
          <w:sz w:val="28"/>
        </w:rPr>
      </w:pPr>
      <w:r>
        <w:rPr>
          <w:rFonts w:ascii="Times New Roman" w:hAnsi="Times New Roman"/>
          <w:sz w:val="28"/>
        </w:rPr>
        <w:t xml:space="preserve">О том, что барьеры отсутствуют, считают 32% опрошенных, а барьеры, преодолимые при осуществлении значительных затрат – 12%. </w:t>
      </w:r>
    </w:p>
    <w:p w14:paraId="F0010000">
      <w:pPr>
        <w:spacing w:after="0"/>
        <w:ind w:firstLine="708" w:left="0"/>
        <w:jc w:val="both"/>
        <w:rPr>
          <w:rFonts w:ascii="Times New Roman" w:hAnsi="Times New Roman"/>
          <w:sz w:val="28"/>
        </w:rPr>
      </w:pPr>
      <w:r>
        <w:rPr>
          <w:rFonts w:ascii="Times New Roman" w:hAnsi="Times New Roman"/>
          <w:sz w:val="28"/>
        </w:rPr>
        <w:t>Оценивая динамику проблем административных барьеров (рисунок 1.15.), 53% опрошенных считает, что за последние 3 года бизнесу стало проще преодолевать административные барьеры.21% из числа опрощенных, считают, что бизнесу стало сложнее преодолевать административные барьеры, чем раньше, а 11% считают, что барьеры отсутствуют, 7 % респондентов полагают, что барьеры полностью устранены, 6% считают, что бизнесу стало проще преодолевать административные барьеры, чем раньше и 2% полагают, что ранее административные барьеры отсутствовали, однако сейчас появились.</w:t>
      </w:r>
    </w:p>
    <w:p w14:paraId="F1010000">
      <w:pPr>
        <w:spacing w:after="0"/>
        <w:ind w:firstLine="709" w:left="0"/>
        <w:jc w:val="center"/>
        <w:rPr>
          <w:rFonts w:ascii="Times New Roman" w:hAnsi="Times New Roman"/>
          <w:sz w:val="28"/>
        </w:rPr>
      </w:pPr>
      <w:r>
        <w:rPr>
          <w:rFonts w:ascii="Times New Roman" w:hAnsi="Times New Roman"/>
          <w:sz w:val="28"/>
        </w:rPr>
        <w:drawing>
          <wp:inline>
            <wp:extent cx="5771007" cy="3274187"/>
            <wp:docPr hidden="false" id="30" name="Picture 30"/>
            <a:graphic>
              <a:graphicData uri="http://schemas.openxmlformats.org/drawingml/2006/picture">
                <pic:pic>
                  <pic:nvPicPr>
                    <pic:cNvPr hidden="false" id="29" name="Picture 29"/>
                    <pic:cNvPicPr preferRelativeResize="true"/>
                  </pic:nvPicPr>
                  <pic:blipFill>
                    <a:blip r:embed="rId18"/>
                    <a:srcRect b="-12" l="0" r="0" t="0"/>
                    <a:stretch/>
                  </pic:blipFill>
                  <pic:spPr>
                    <a:xfrm flipH="false" flipV="false" rot="0">
                      <a:ext cx="5771007" cy="3274187"/>
                    </a:xfrm>
                    <a:prstGeom prst="rect"/>
                  </pic:spPr>
                </pic:pic>
              </a:graphicData>
            </a:graphic>
          </wp:inline>
        </w:drawing>
      </w:r>
    </w:p>
    <w:p w14:paraId="F2010000">
      <w:pPr>
        <w:spacing w:after="0"/>
        <w:ind/>
        <w:jc w:val="center"/>
        <w:rPr>
          <w:rFonts w:ascii="Times New Roman" w:hAnsi="Times New Roman"/>
          <w:sz w:val="20"/>
        </w:rPr>
      </w:pPr>
      <w:r>
        <w:rPr>
          <w:rFonts w:ascii="Times New Roman" w:hAnsi="Times New Roman"/>
          <w:sz w:val="20"/>
        </w:rPr>
        <w:t xml:space="preserve">Рисунок </w:t>
      </w:r>
      <w:r>
        <w:rPr>
          <w:rFonts w:ascii="Times New Roman" w:hAnsi="Times New Roman"/>
          <w:sz w:val="20"/>
        </w:rPr>
        <w:t>1.</w:t>
      </w:r>
      <w:r>
        <w:rPr>
          <w:rFonts w:ascii="Times New Roman" w:hAnsi="Times New Roman"/>
          <w:sz w:val="20"/>
        </w:rPr>
        <w:t>1</w:t>
      </w:r>
      <w:r>
        <w:rPr>
          <w:rFonts w:ascii="Times New Roman" w:hAnsi="Times New Roman"/>
          <w:sz w:val="20"/>
        </w:rPr>
        <w:t>5</w:t>
      </w:r>
      <w:r>
        <w:rPr>
          <w:rFonts w:ascii="Times New Roman" w:hAnsi="Times New Roman"/>
          <w:sz w:val="20"/>
        </w:rPr>
        <w:t>. Изменение уровня административных барьеров на рынке в течение последних 3 лет, % к опрошенным</w:t>
      </w:r>
    </w:p>
    <w:p w14:paraId="F3010000">
      <w:pPr>
        <w:spacing w:after="0" w:line="240" w:lineRule="auto"/>
        <w:ind w:firstLine="708" w:left="0"/>
        <w:jc w:val="both"/>
        <w:rPr>
          <w:rFonts w:ascii="Times New Roman" w:hAnsi="Times New Roman"/>
          <w:sz w:val="28"/>
        </w:rPr>
      </w:pPr>
      <w:r>
        <w:rPr>
          <w:rFonts w:ascii="Times New Roman" w:hAnsi="Times New Roman"/>
          <w:sz w:val="28"/>
        </w:rPr>
        <w:t>Изменение уровня административных барьеров на рынке в течение последних 3 лет, % к опрошенным</w:t>
      </w:r>
      <w:r>
        <w:rPr>
          <w:rFonts w:ascii="Times New Roman" w:hAnsi="Times New Roman"/>
          <w:sz w:val="28"/>
        </w:rPr>
        <w:t xml:space="preserve"> в сравнении с предшествующими годами представлен в таблице 2.2</w:t>
      </w:r>
    </w:p>
    <w:p w14:paraId="F4010000">
      <w:pPr>
        <w:spacing w:after="0" w:line="240" w:lineRule="auto"/>
        <w:ind w:firstLine="708" w:left="6372"/>
        <w:jc w:val="center"/>
        <w:rPr>
          <w:rFonts w:ascii="Times New Roman" w:hAnsi="Times New Roman"/>
          <w:sz w:val="28"/>
        </w:rPr>
      </w:pPr>
      <w:r>
        <w:rPr>
          <w:rFonts w:ascii="Times New Roman" w:hAnsi="Times New Roman"/>
          <w:sz w:val="28"/>
        </w:rPr>
        <w:t>Таблица  2.2</w:t>
      </w:r>
    </w:p>
    <w:tbl>
      <w:tblPr>
        <w:tblStyle w:val="Style_4"/>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12"/>
        <w:gridCol w:w="1418"/>
        <w:gridCol w:w="1417"/>
        <w:gridCol w:w="1418"/>
      </w:tblGrid>
      <w:tr>
        <w:tc>
          <w:tcPr>
            <w:tcW w:type="dxa" w:w="5812"/>
            <w:tcBorders>
              <w:top w:color="000000" w:sz="4" w:val="single"/>
              <w:left w:color="000000" w:sz="4" w:val="single"/>
              <w:bottom w:color="000000" w:sz="4" w:val="single"/>
              <w:right w:color="000000" w:sz="4" w:val="single"/>
            </w:tcBorders>
          </w:tcPr>
          <w:p w14:paraId="F5010000">
            <w:pPr>
              <w:ind/>
              <w:jc w:val="both"/>
              <w:rPr>
                <w:rFonts w:ascii="Times New Roman" w:hAnsi="Times New Roman"/>
                <w:sz w:val="20"/>
              </w:rPr>
            </w:pPr>
          </w:p>
        </w:tc>
        <w:tc>
          <w:tcPr>
            <w:tcW w:type="dxa" w:w="1418"/>
            <w:tcBorders>
              <w:top w:color="000000" w:sz="4" w:val="single"/>
              <w:left w:color="000000" w:sz="4" w:val="single"/>
              <w:bottom w:color="000000" w:sz="4" w:val="single"/>
              <w:right w:color="000000" w:sz="4" w:val="single"/>
            </w:tcBorders>
          </w:tcPr>
          <w:p w14:paraId="F6010000">
            <w:pPr>
              <w:ind/>
              <w:jc w:val="center"/>
              <w:rPr>
                <w:rFonts w:ascii="Times New Roman" w:hAnsi="Times New Roman"/>
                <w:sz w:val="20"/>
              </w:rPr>
            </w:pPr>
            <w:r>
              <w:rPr>
                <w:rFonts w:ascii="Times New Roman" w:hAnsi="Times New Roman"/>
                <w:sz w:val="20"/>
              </w:rPr>
              <w:t xml:space="preserve">2019 </w:t>
            </w:r>
            <w:r>
              <w:rPr>
                <w:rFonts w:ascii="Times New Roman" w:hAnsi="Times New Roman"/>
                <w:sz w:val="20"/>
              </w:rPr>
              <w:t>год</w:t>
            </w:r>
          </w:p>
        </w:tc>
        <w:tc>
          <w:tcPr>
            <w:tcW w:type="dxa" w:w="1417"/>
            <w:tcBorders>
              <w:top w:color="000000" w:sz="4" w:val="single"/>
              <w:left w:color="000000" w:sz="4" w:val="single"/>
              <w:bottom w:color="000000" w:sz="4" w:val="single"/>
              <w:right w:color="000000" w:sz="4" w:val="single"/>
            </w:tcBorders>
          </w:tcPr>
          <w:p w14:paraId="F7010000">
            <w:pPr>
              <w:ind/>
              <w:jc w:val="center"/>
              <w:rPr>
                <w:rFonts w:ascii="Times New Roman" w:hAnsi="Times New Roman"/>
                <w:sz w:val="20"/>
              </w:rPr>
            </w:pPr>
            <w:r>
              <w:rPr>
                <w:rFonts w:ascii="Times New Roman" w:hAnsi="Times New Roman"/>
                <w:sz w:val="20"/>
              </w:rPr>
              <w:t>2020 год</w:t>
            </w:r>
          </w:p>
        </w:tc>
        <w:tc>
          <w:tcPr>
            <w:tcW w:type="dxa" w:w="1418"/>
            <w:tcBorders>
              <w:top w:color="000000" w:sz="4" w:val="single"/>
              <w:left w:color="000000" w:sz="4" w:val="single"/>
              <w:bottom w:color="000000" w:sz="4" w:val="single"/>
              <w:right w:color="000000" w:sz="4" w:val="single"/>
            </w:tcBorders>
          </w:tcPr>
          <w:p w14:paraId="F8010000">
            <w:pPr>
              <w:ind/>
              <w:jc w:val="center"/>
              <w:rPr>
                <w:rFonts w:ascii="Times New Roman" w:hAnsi="Times New Roman"/>
                <w:sz w:val="20"/>
              </w:rPr>
            </w:pPr>
            <w:r>
              <w:rPr>
                <w:rFonts w:ascii="Times New Roman" w:hAnsi="Times New Roman"/>
                <w:sz w:val="20"/>
              </w:rPr>
              <w:t>2021 год</w:t>
            </w:r>
          </w:p>
        </w:tc>
      </w:tr>
      <w:tr>
        <w:tc>
          <w:tcPr>
            <w:tcW w:type="dxa" w:w="5812"/>
            <w:tcBorders>
              <w:top w:color="000000" w:sz="4" w:val="single"/>
              <w:left w:color="000000" w:sz="4" w:val="single"/>
              <w:bottom w:color="000000" w:sz="4" w:val="single"/>
              <w:right w:color="000000" w:sz="4" w:val="single"/>
            </w:tcBorders>
          </w:tcPr>
          <w:p w14:paraId="F9010000">
            <w:pPr>
              <w:ind/>
              <w:jc w:val="both"/>
              <w:rPr>
                <w:rFonts w:ascii="Times New Roman" w:hAnsi="Times New Roman"/>
              </w:rPr>
            </w:pPr>
            <w:r>
              <w:rPr>
                <w:rFonts w:ascii="Times New Roman" w:hAnsi="Times New Roman"/>
              </w:rPr>
              <w:t>административные барьеры полностью устранены</w:t>
            </w:r>
          </w:p>
        </w:tc>
        <w:tc>
          <w:tcPr>
            <w:tcW w:type="dxa" w:w="1418"/>
            <w:tcBorders>
              <w:top w:color="000000" w:sz="4" w:val="single"/>
              <w:left w:color="000000" w:sz="4" w:val="single"/>
              <w:bottom w:color="000000" w:sz="4" w:val="single"/>
              <w:right w:color="000000" w:sz="4" w:val="single"/>
            </w:tcBorders>
            <w:vAlign w:val="center"/>
          </w:tcPr>
          <w:p w14:paraId="FA010000">
            <w:pPr>
              <w:ind/>
              <w:jc w:val="center"/>
              <w:rPr>
                <w:rFonts w:ascii="Times New Roman" w:hAnsi="Times New Roman"/>
                <w:sz w:val="20"/>
              </w:rPr>
            </w:pPr>
            <w:r>
              <w:rPr>
                <w:rFonts w:ascii="Times New Roman" w:hAnsi="Times New Roman"/>
                <w:sz w:val="20"/>
              </w:rPr>
              <w:t>7%</w:t>
            </w:r>
          </w:p>
        </w:tc>
        <w:tc>
          <w:tcPr>
            <w:tcW w:type="dxa" w:w="1417"/>
            <w:tcBorders>
              <w:top w:color="000000" w:sz="4" w:val="single"/>
              <w:left w:color="000000" w:sz="4" w:val="single"/>
              <w:bottom w:color="000000" w:sz="4" w:val="single"/>
              <w:right w:color="000000" w:sz="4" w:val="single"/>
            </w:tcBorders>
            <w:vAlign w:val="center"/>
          </w:tcPr>
          <w:p w14:paraId="FB010000">
            <w:pPr>
              <w:ind/>
              <w:jc w:val="center"/>
              <w:rPr>
                <w:rFonts w:ascii="Times New Roman" w:hAnsi="Times New Roman"/>
                <w:sz w:val="20"/>
              </w:rPr>
            </w:pPr>
            <w:r>
              <w:rPr>
                <w:rFonts w:ascii="Times New Roman" w:hAnsi="Times New Roman"/>
                <w:sz w:val="20"/>
              </w:rPr>
              <w:t>9%</w:t>
            </w:r>
          </w:p>
        </w:tc>
        <w:tc>
          <w:tcPr>
            <w:tcW w:type="dxa" w:w="1418"/>
            <w:tcBorders>
              <w:top w:color="000000" w:sz="4" w:val="single"/>
              <w:left w:color="000000" w:sz="4" w:val="single"/>
              <w:bottom w:color="000000" w:sz="4" w:val="single"/>
              <w:right w:color="000000" w:sz="4" w:val="single"/>
            </w:tcBorders>
            <w:vAlign w:val="center"/>
          </w:tcPr>
          <w:p w14:paraId="FC010000">
            <w:pPr>
              <w:ind/>
              <w:jc w:val="center"/>
              <w:rPr>
                <w:rFonts w:ascii="Times New Roman" w:hAnsi="Times New Roman"/>
                <w:sz w:val="20"/>
              </w:rPr>
            </w:pPr>
            <w:r>
              <w:rPr>
                <w:rFonts w:ascii="Times New Roman" w:hAnsi="Times New Roman"/>
                <w:sz w:val="20"/>
              </w:rPr>
              <w:t>8%</w:t>
            </w:r>
          </w:p>
        </w:tc>
      </w:tr>
      <w:tr>
        <w:trPr>
          <w:trHeight w:hRule="atLeast" w:val="571"/>
        </w:trPr>
        <w:tc>
          <w:tcPr>
            <w:tcW w:type="dxa" w:w="5812"/>
            <w:tcBorders>
              <w:top w:color="000000" w:sz="4" w:val="single"/>
              <w:left w:color="000000" w:sz="4" w:val="single"/>
              <w:bottom w:color="000000" w:sz="4" w:val="single"/>
              <w:right w:color="000000" w:sz="4" w:val="single"/>
            </w:tcBorders>
          </w:tcPr>
          <w:p w14:paraId="FD010000">
            <w:pPr>
              <w:ind/>
              <w:jc w:val="both"/>
              <w:rPr>
                <w:rFonts w:ascii="Times New Roman" w:hAnsi="Times New Roman"/>
              </w:rPr>
            </w:pPr>
            <w:r>
              <w:rPr>
                <w:rFonts w:ascii="Times New Roman" w:hAnsi="Times New Roman"/>
              </w:rPr>
              <w:t>бизнесу стало проще преодолевать административные барьеры, чем раньше</w:t>
            </w:r>
          </w:p>
        </w:tc>
        <w:tc>
          <w:tcPr>
            <w:tcW w:type="dxa" w:w="1418"/>
            <w:tcBorders>
              <w:top w:color="000000" w:sz="4" w:val="single"/>
              <w:left w:color="000000" w:sz="4" w:val="single"/>
              <w:bottom w:color="000000" w:sz="4" w:val="single"/>
              <w:right w:color="000000" w:sz="4" w:val="single"/>
            </w:tcBorders>
            <w:vAlign w:val="center"/>
          </w:tcPr>
          <w:p w14:paraId="FE010000">
            <w:pPr>
              <w:ind/>
              <w:jc w:val="center"/>
              <w:rPr>
                <w:rFonts w:ascii="Times New Roman" w:hAnsi="Times New Roman"/>
                <w:sz w:val="20"/>
              </w:rPr>
            </w:pPr>
            <w:r>
              <w:rPr>
                <w:rFonts w:ascii="Times New Roman" w:hAnsi="Times New Roman"/>
                <w:sz w:val="20"/>
              </w:rPr>
              <w:t>6%</w:t>
            </w:r>
          </w:p>
        </w:tc>
        <w:tc>
          <w:tcPr>
            <w:tcW w:type="dxa" w:w="1417"/>
            <w:tcBorders>
              <w:top w:color="000000" w:sz="4" w:val="single"/>
              <w:left w:color="000000" w:sz="4" w:val="single"/>
              <w:bottom w:color="000000" w:sz="4" w:val="single"/>
              <w:right w:color="000000" w:sz="4" w:val="single"/>
            </w:tcBorders>
            <w:vAlign w:val="center"/>
          </w:tcPr>
          <w:p w14:paraId="FF010000">
            <w:pPr>
              <w:ind/>
              <w:jc w:val="center"/>
              <w:rPr>
                <w:rFonts w:ascii="Times New Roman" w:hAnsi="Times New Roman"/>
                <w:sz w:val="20"/>
              </w:rPr>
            </w:pPr>
            <w:r>
              <w:rPr>
                <w:rFonts w:ascii="Times New Roman" w:hAnsi="Times New Roman"/>
                <w:sz w:val="20"/>
              </w:rPr>
              <w:t>6%</w:t>
            </w:r>
          </w:p>
        </w:tc>
        <w:tc>
          <w:tcPr>
            <w:tcW w:type="dxa" w:w="1418"/>
            <w:tcBorders>
              <w:top w:color="000000" w:sz="4" w:val="single"/>
              <w:left w:color="000000" w:sz="4" w:val="single"/>
              <w:bottom w:color="000000" w:sz="4" w:val="single"/>
              <w:right w:color="000000" w:sz="4" w:val="single"/>
            </w:tcBorders>
            <w:vAlign w:val="center"/>
          </w:tcPr>
          <w:p w14:paraId="00020000">
            <w:pPr>
              <w:ind/>
              <w:jc w:val="center"/>
              <w:rPr>
                <w:rFonts w:ascii="Times New Roman" w:hAnsi="Times New Roman"/>
                <w:sz w:val="20"/>
              </w:rPr>
            </w:pPr>
            <w:r>
              <w:rPr>
                <w:rFonts w:ascii="Times New Roman" w:hAnsi="Times New Roman"/>
                <w:sz w:val="20"/>
              </w:rPr>
              <w:t>7%</w:t>
            </w:r>
          </w:p>
        </w:tc>
      </w:tr>
      <w:tr>
        <w:trPr>
          <w:trHeight w:hRule="atLeast" w:val="441"/>
        </w:trPr>
        <w:tc>
          <w:tcPr>
            <w:tcW w:type="dxa" w:w="5812"/>
            <w:tcBorders>
              <w:top w:color="000000" w:sz="4" w:val="single"/>
              <w:left w:color="000000" w:sz="4" w:val="single"/>
              <w:bottom w:color="000000" w:sz="4" w:val="single"/>
              <w:right w:color="000000" w:sz="4" w:val="single"/>
            </w:tcBorders>
          </w:tcPr>
          <w:p w14:paraId="01020000">
            <w:pPr>
              <w:ind/>
              <w:jc w:val="both"/>
              <w:rPr>
                <w:rFonts w:ascii="Times New Roman" w:hAnsi="Times New Roman"/>
              </w:rPr>
            </w:pPr>
            <w:r>
              <w:rPr>
                <w:rFonts w:ascii="Times New Roman" w:hAnsi="Times New Roman"/>
              </w:rPr>
              <w:t>уровень и количество административных барьеров не изменились</w:t>
            </w:r>
          </w:p>
        </w:tc>
        <w:tc>
          <w:tcPr>
            <w:tcW w:type="dxa" w:w="1418"/>
            <w:tcBorders>
              <w:top w:color="000000" w:sz="4" w:val="single"/>
              <w:left w:color="000000" w:sz="4" w:val="single"/>
              <w:bottom w:color="000000" w:sz="4" w:val="single"/>
              <w:right w:color="000000" w:sz="4" w:val="single"/>
            </w:tcBorders>
            <w:vAlign w:val="center"/>
          </w:tcPr>
          <w:p w14:paraId="02020000">
            <w:pPr>
              <w:ind/>
              <w:jc w:val="center"/>
              <w:rPr>
                <w:rFonts w:ascii="Times New Roman" w:hAnsi="Times New Roman"/>
                <w:sz w:val="20"/>
              </w:rPr>
            </w:pPr>
            <w:r>
              <w:rPr>
                <w:rFonts w:ascii="Times New Roman" w:hAnsi="Times New Roman"/>
                <w:sz w:val="20"/>
              </w:rPr>
              <w:t>53%</w:t>
            </w:r>
          </w:p>
        </w:tc>
        <w:tc>
          <w:tcPr>
            <w:tcW w:type="dxa" w:w="1417"/>
            <w:tcBorders>
              <w:top w:color="000000" w:sz="4" w:val="single"/>
              <w:left w:color="000000" w:sz="4" w:val="single"/>
              <w:bottom w:color="000000" w:sz="4" w:val="single"/>
              <w:right w:color="000000" w:sz="4" w:val="single"/>
            </w:tcBorders>
            <w:vAlign w:val="center"/>
          </w:tcPr>
          <w:p w14:paraId="03020000">
            <w:pPr>
              <w:ind/>
              <w:jc w:val="center"/>
              <w:rPr>
                <w:rFonts w:ascii="Times New Roman" w:hAnsi="Times New Roman"/>
                <w:sz w:val="20"/>
              </w:rPr>
            </w:pPr>
            <w:r>
              <w:rPr>
                <w:rFonts w:ascii="Times New Roman" w:hAnsi="Times New Roman"/>
                <w:sz w:val="20"/>
              </w:rPr>
              <w:t>51%</w:t>
            </w:r>
          </w:p>
        </w:tc>
        <w:tc>
          <w:tcPr>
            <w:tcW w:type="dxa" w:w="1418"/>
            <w:tcBorders>
              <w:top w:color="000000" w:sz="4" w:val="single"/>
              <w:left w:color="000000" w:sz="4" w:val="single"/>
              <w:bottom w:color="000000" w:sz="4" w:val="single"/>
              <w:right w:color="000000" w:sz="4" w:val="single"/>
            </w:tcBorders>
            <w:vAlign w:val="center"/>
          </w:tcPr>
          <w:p w14:paraId="04020000">
            <w:pPr>
              <w:ind/>
              <w:jc w:val="center"/>
              <w:rPr>
                <w:rFonts w:ascii="Times New Roman" w:hAnsi="Times New Roman"/>
                <w:sz w:val="20"/>
              </w:rPr>
            </w:pPr>
            <w:r>
              <w:rPr>
                <w:rFonts w:ascii="Times New Roman" w:hAnsi="Times New Roman"/>
                <w:sz w:val="20"/>
              </w:rPr>
              <w:t>49%</w:t>
            </w:r>
          </w:p>
        </w:tc>
      </w:tr>
      <w:tr>
        <w:tc>
          <w:tcPr>
            <w:tcW w:type="dxa" w:w="5812"/>
            <w:tcBorders>
              <w:top w:color="000000" w:sz="4" w:val="single"/>
              <w:left w:color="000000" w:sz="4" w:val="single"/>
              <w:bottom w:color="000000" w:sz="4" w:val="single"/>
              <w:right w:color="000000" w:sz="4" w:val="single"/>
            </w:tcBorders>
          </w:tcPr>
          <w:p w14:paraId="05020000">
            <w:pPr>
              <w:ind/>
              <w:jc w:val="both"/>
              <w:rPr>
                <w:rFonts w:ascii="Times New Roman" w:hAnsi="Times New Roman"/>
              </w:rPr>
            </w:pPr>
            <w:r>
              <w:rPr>
                <w:rFonts w:ascii="Times New Roman" w:hAnsi="Times New Roman"/>
              </w:rPr>
              <w:t>бизнесу стало сложнее преодолевать административные барьеры, чем раньше</w:t>
            </w:r>
          </w:p>
        </w:tc>
        <w:tc>
          <w:tcPr>
            <w:tcW w:type="dxa" w:w="1418"/>
            <w:tcBorders>
              <w:top w:color="000000" w:sz="4" w:val="single"/>
              <w:left w:color="000000" w:sz="4" w:val="single"/>
              <w:bottom w:color="000000" w:sz="4" w:val="single"/>
              <w:right w:color="000000" w:sz="4" w:val="single"/>
            </w:tcBorders>
            <w:vAlign w:val="center"/>
          </w:tcPr>
          <w:p w14:paraId="06020000">
            <w:pPr>
              <w:ind/>
              <w:jc w:val="center"/>
              <w:rPr>
                <w:rFonts w:ascii="Times New Roman" w:hAnsi="Times New Roman"/>
                <w:sz w:val="20"/>
              </w:rPr>
            </w:pPr>
            <w:r>
              <w:rPr>
                <w:rFonts w:ascii="Times New Roman" w:hAnsi="Times New Roman"/>
                <w:sz w:val="20"/>
              </w:rPr>
              <w:t>21%</w:t>
            </w:r>
          </w:p>
        </w:tc>
        <w:tc>
          <w:tcPr>
            <w:tcW w:type="dxa" w:w="1417"/>
            <w:tcBorders>
              <w:top w:color="000000" w:sz="4" w:val="single"/>
              <w:left w:color="000000" w:sz="4" w:val="single"/>
              <w:bottom w:color="000000" w:sz="4" w:val="single"/>
              <w:right w:color="000000" w:sz="4" w:val="single"/>
            </w:tcBorders>
            <w:vAlign w:val="center"/>
          </w:tcPr>
          <w:p w14:paraId="07020000">
            <w:pPr>
              <w:ind/>
              <w:jc w:val="center"/>
              <w:rPr>
                <w:rFonts w:ascii="Times New Roman" w:hAnsi="Times New Roman"/>
                <w:sz w:val="20"/>
              </w:rPr>
            </w:pPr>
            <w:r>
              <w:rPr>
                <w:rFonts w:ascii="Times New Roman" w:hAnsi="Times New Roman"/>
                <w:sz w:val="20"/>
              </w:rPr>
              <w:t>23%</w:t>
            </w:r>
          </w:p>
        </w:tc>
        <w:tc>
          <w:tcPr>
            <w:tcW w:type="dxa" w:w="1418"/>
            <w:tcBorders>
              <w:top w:color="000000" w:sz="4" w:val="single"/>
              <w:left w:color="000000" w:sz="4" w:val="single"/>
              <w:bottom w:color="000000" w:sz="4" w:val="single"/>
              <w:right w:color="000000" w:sz="4" w:val="single"/>
            </w:tcBorders>
            <w:vAlign w:val="center"/>
          </w:tcPr>
          <w:p w14:paraId="08020000">
            <w:pPr>
              <w:ind/>
              <w:jc w:val="center"/>
              <w:rPr>
                <w:rFonts w:ascii="Times New Roman" w:hAnsi="Times New Roman"/>
                <w:sz w:val="20"/>
              </w:rPr>
            </w:pPr>
            <w:r>
              <w:rPr>
                <w:rFonts w:ascii="Times New Roman" w:hAnsi="Times New Roman"/>
                <w:sz w:val="20"/>
              </w:rPr>
              <w:t>25%</w:t>
            </w:r>
          </w:p>
        </w:tc>
      </w:tr>
      <w:tr>
        <w:tc>
          <w:tcPr>
            <w:tcW w:type="dxa" w:w="5812"/>
            <w:tcBorders>
              <w:top w:color="000000" w:sz="4" w:val="single"/>
              <w:left w:color="000000" w:sz="4" w:val="single"/>
              <w:bottom w:color="000000" w:sz="4" w:val="single"/>
              <w:right w:color="000000" w:sz="4" w:val="single"/>
            </w:tcBorders>
          </w:tcPr>
          <w:p w14:paraId="09020000">
            <w:pPr>
              <w:ind/>
              <w:jc w:val="both"/>
              <w:rPr>
                <w:rFonts w:ascii="Times New Roman" w:hAnsi="Times New Roman"/>
              </w:rPr>
            </w:pPr>
            <w:r>
              <w:rPr>
                <w:rFonts w:ascii="Times New Roman" w:hAnsi="Times New Roman"/>
              </w:rPr>
              <w:t>ранее административные барьеры отсутствовали, однако сейчас появились</w:t>
            </w:r>
          </w:p>
        </w:tc>
        <w:tc>
          <w:tcPr>
            <w:tcW w:type="dxa" w:w="1418"/>
            <w:tcBorders>
              <w:top w:color="000000" w:sz="4" w:val="single"/>
              <w:left w:color="000000" w:sz="4" w:val="single"/>
              <w:bottom w:color="000000" w:sz="4" w:val="single"/>
              <w:right w:color="000000" w:sz="4" w:val="single"/>
            </w:tcBorders>
            <w:vAlign w:val="center"/>
          </w:tcPr>
          <w:p w14:paraId="0A020000">
            <w:pPr>
              <w:ind/>
              <w:jc w:val="center"/>
              <w:rPr>
                <w:rFonts w:ascii="Times New Roman" w:hAnsi="Times New Roman"/>
                <w:sz w:val="20"/>
              </w:rPr>
            </w:pPr>
            <w:r>
              <w:rPr>
                <w:rFonts w:ascii="Times New Roman" w:hAnsi="Times New Roman"/>
                <w:sz w:val="20"/>
              </w:rPr>
              <w:t>2%</w:t>
            </w:r>
          </w:p>
        </w:tc>
        <w:tc>
          <w:tcPr>
            <w:tcW w:type="dxa" w:w="1417"/>
            <w:tcBorders>
              <w:top w:color="000000" w:sz="4" w:val="single"/>
              <w:left w:color="000000" w:sz="4" w:val="single"/>
              <w:bottom w:color="000000" w:sz="4" w:val="single"/>
              <w:right w:color="000000" w:sz="4" w:val="single"/>
            </w:tcBorders>
            <w:vAlign w:val="center"/>
          </w:tcPr>
          <w:p w14:paraId="0B020000">
            <w:pPr>
              <w:ind/>
              <w:jc w:val="center"/>
              <w:rPr>
                <w:rFonts w:ascii="Times New Roman" w:hAnsi="Times New Roman"/>
                <w:sz w:val="20"/>
              </w:rPr>
            </w:pPr>
            <w:r>
              <w:rPr>
                <w:rFonts w:ascii="Times New Roman" w:hAnsi="Times New Roman"/>
                <w:sz w:val="20"/>
              </w:rPr>
              <w:t>1%</w:t>
            </w:r>
          </w:p>
        </w:tc>
        <w:tc>
          <w:tcPr>
            <w:tcW w:type="dxa" w:w="1418"/>
            <w:tcBorders>
              <w:top w:color="000000" w:sz="4" w:val="single"/>
              <w:left w:color="000000" w:sz="4" w:val="single"/>
              <w:bottom w:color="000000" w:sz="4" w:val="single"/>
              <w:right w:color="000000" w:sz="4" w:val="single"/>
            </w:tcBorders>
            <w:vAlign w:val="center"/>
          </w:tcPr>
          <w:p w14:paraId="0C020000">
            <w:pPr>
              <w:ind/>
              <w:jc w:val="center"/>
              <w:rPr>
                <w:rFonts w:ascii="Times New Roman" w:hAnsi="Times New Roman"/>
                <w:sz w:val="20"/>
              </w:rPr>
            </w:pPr>
            <w:r>
              <w:rPr>
                <w:rFonts w:ascii="Times New Roman" w:hAnsi="Times New Roman"/>
                <w:sz w:val="20"/>
              </w:rPr>
              <w:t>2%</w:t>
            </w:r>
          </w:p>
        </w:tc>
      </w:tr>
      <w:tr>
        <w:tc>
          <w:tcPr>
            <w:tcW w:type="dxa" w:w="5812"/>
            <w:tcBorders>
              <w:top w:color="000000" w:sz="4" w:val="single"/>
              <w:left w:color="000000" w:sz="4" w:val="single"/>
              <w:bottom w:color="000000" w:sz="4" w:val="single"/>
              <w:right w:color="000000" w:sz="4" w:val="single"/>
            </w:tcBorders>
          </w:tcPr>
          <w:p w14:paraId="0D020000">
            <w:pPr>
              <w:ind/>
              <w:jc w:val="both"/>
              <w:rPr>
                <w:rFonts w:ascii="Times New Roman" w:hAnsi="Times New Roman"/>
              </w:rPr>
            </w:pPr>
            <w:r>
              <w:rPr>
                <w:rFonts w:ascii="Times New Roman" w:hAnsi="Times New Roman"/>
              </w:rPr>
              <w:t>административные барьеры отсутствуют, как и ранее</w:t>
            </w:r>
          </w:p>
        </w:tc>
        <w:tc>
          <w:tcPr>
            <w:tcW w:type="dxa" w:w="1418"/>
            <w:tcBorders>
              <w:top w:color="000000" w:sz="4" w:val="single"/>
              <w:left w:color="000000" w:sz="4" w:val="single"/>
              <w:bottom w:color="000000" w:sz="4" w:val="single"/>
              <w:right w:color="000000" w:sz="4" w:val="single"/>
            </w:tcBorders>
            <w:vAlign w:val="center"/>
          </w:tcPr>
          <w:p w14:paraId="0E020000">
            <w:pPr>
              <w:ind/>
              <w:jc w:val="center"/>
              <w:rPr>
                <w:rFonts w:ascii="Times New Roman" w:hAnsi="Times New Roman"/>
                <w:sz w:val="20"/>
              </w:rPr>
            </w:pPr>
            <w:r>
              <w:rPr>
                <w:rFonts w:ascii="Times New Roman" w:hAnsi="Times New Roman"/>
                <w:sz w:val="20"/>
              </w:rPr>
              <w:t>11%</w:t>
            </w:r>
          </w:p>
        </w:tc>
        <w:tc>
          <w:tcPr>
            <w:tcW w:type="dxa" w:w="1417"/>
            <w:tcBorders>
              <w:top w:color="000000" w:sz="4" w:val="single"/>
              <w:left w:color="000000" w:sz="4" w:val="single"/>
              <w:bottom w:color="000000" w:sz="4" w:val="single"/>
              <w:right w:color="000000" w:sz="4" w:val="single"/>
            </w:tcBorders>
            <w:vAlign w:val="center"/>
          </w:tcPr>
          <w:p w14:paraId="0F020000">
            <w:pPr>
              <w:ind/>
              <w:jc w:val="center"/>
              <w:rPr>
                <w:rFonts w:ascii="Times New Roman" w:hAnsi="Times New Roman"/>
                <w:sz w:val="20"/>
              </w:rPr>
            </w:pPr>
            <w:r>
              <w:rPr>
                <w:rFonts w:ascii="Times New Roman" w:hAnsi="Times New Roman"/>
                <w:sz w:val="20"/>
              </w:rPr>
              <w:t>9%</w:t>
            </w:r>
          </w:p>
        </w:tc>
        <w:tc>
          <w:tcPr>
            <w:tcW w:type="dxa" w:w="1418"/>
            <w:tcBorders>
              <w:top w:color="000000" w:sz="4" w:val="single"/>
              <w:left w:color="000000" w:sz="4" w:val="single"/>
              <w:bottom w:color="000000" w:sz="4" w:val="single"/>
              <w:right w:color="000000" w:sz="4" w:val="single"/>
            </w:tcBorders>
            <w:vAlign w:val="center"/>
          </w:tcPr>
          <w:p w14:paraId="10020000">
            <w:pPr>
              <w:ind/>
              <w:jc w:val="center"/>
              <w:rPr>
                <w:rFonts w:ascii="Times New Roman" w:hAnsi="Times New Roman"/>
                <w:sz w:val="20"/>
              </w:rPr>
            </w:pPr>
            <w:r>
              <w:rPr>
                <w:rFonts w:ascii="Times New Roman" w:hAnsi="Times New Roman"/>
                <w:sz w:val="20"/>
              </w:rPr>
              <w:t>9%</w:t>
            </w:r>
          </w:p>
        </w:tc>
      </w:tr>
    </w:tbl>
    <w:p w14:paraId="11020000">
      <w:pPr>
        <w:spacing w:after="0" w:line="240" w:lineRule="auto"/>
        <w:ind w:firstLine="709" w:left="0"/>
        <w:jc w:val="both"/>
        <w:rPr>
          <w:rFonts w:ascii="Times New Roman" w:hAnsi="Times New Roman"/>
          <w:sz w:val="24"/>
        </w:rPr>
      </w:pPr>
      <w:r>
        <w:rPr>
          <w:rFonts w:ascii="Times New Roman" w:hAnsi="Times New Roman"/>
          <w:sz w:val="28"/>
        </w:rPr>
        <w:t>С</w:t>
      </w:r>
      <w:r>
        <w:rPr>
          <w:rFonts w:ascii="Times New Roman" w:hAnsi="Times New Roman"/>
          <w:sz w:val="28"/>
        </w:rPr>
        <w:t>убъек</w:t>
      </w:r>
      <w:r>
        <w:rPr>
          <w:rFonts w:ascii="Times New Roman" w:hAnsi="Times New Roman"/>
          <w:sz w:val="28"/>
        </w:rPr>
        <w:t>ты</w:t>
      </w:r>
      <w:r>
        <w:rPr>
          <w:rFonts w:ascii="Times New Roman" w:hAnsi="Times New Roman"/>
          <w:sz w:val="28"/>
        </w:rPr>
        <w:t xml:space="preserve"> предпринимательской деятельности </w:t>
      </w:r>
      <w:r>
        <w:rPr>
          <w:rFonts w:ascii="Times New Roman" w:hAnsi="Times New Roman"/>
          <w:sz w:val="28"/>
        </w:rPr>
        <w:t xml:space="preserve">отметили, </w:t>
      </w:r>
      <w:r>
        <w:rPr>
          <w:rFonts w:ascii="Times New Roman" w:hAnsi="Times New Roman"/>
          <w:sz w:val="28"/>
        </w:rPr>
        <w:t xml:space="preserve">что </w:t>
      </w:r>
      <w:r>
        <w:rPr>
          <w:rFonts w:ascii="Times New Roman" w:hAnsi="Times New Roman"/>
          <w:sz w:val="28"/>
        </w:rPr>
        <w:t xml:space="preserve">обращались </w:t>
      </w:r>
      <w:r>
        <w:rPr>
          <w:rFonts w:ascii="Times New Roman" w:hAnsi="Times New Roman"/>
          <w:sz w:val="28"/>
        </w:rPr>
        <w:t xml:space="preserve">в надзорные органы </w:t>
      </w:r>
      <w:r>
        <w:rPr>
          <w:rFonts w:ascii="Times New Roman" w:hAnsi="Times New Roman"/>
          <w:sz w:val="28"/>
        </w:rPr>
        <w:t>за защитой своих прав</w:t>
      </w:r>
      <w:r>
        <w:rPr>
          <w:rFonts w:ascii="Times New Roman" w:hAnsi="Times New Roman"/>
          <w:sz w:val="28"/>
        </w:rPr>
        <w:t xml:space="preserve"> (48% респондентов)</w:t>
      </w:r>
      <w:r>
        <w:rPr>
          <w:rFonts w:ascii="Times New Roman" w:hAnsi="Times New Roman"/>
          <w:sz w:val="28"/>
        </w:rPr>
        <w:t>.</w:t>
      </w:r>
      <w:r>
        <w:rPr>
          <w:rFonts w:ascii="Times New Roman" w:hAnsi="Times New Roman"/>
          <w:sz w:val="28"/>
        </w:rPr>
        <w:t xml:space="preserve"> В основном это: Администрация города Волгодонска, Роспотребнадзор, прокуратура, органы судебной власти. 52% респондентов в надзорные органы в 2021 году не обращались.</w:t>
      </w:r>
    </w:p>
    <w:p w14:paraId="12020000">
      <w:pPr>
        <w:pStyle w:val="Style_12"/>
        <w:spacing w:before="0"/>
        <w:ind/>
        <w:jc w:val="center"/>
        <w:rPr>
          <w:rFonts w:ascii="Times New Roman" w:hAnsi="Times New Roman"/>
          <w:color w:val="000000"/>
          <w:sz w:val="28"/>
        </w:rPr>
      </w:pPr>
      <w:r>
        <w:rPr>
          <w:rFonts w:ascii="Times New Roman" w:hAnsi="Times New Roman"/>
          <w:color w:val="000000"/>
          <w:sz w:val="28"/>
        </w:rPr>
        <w:t>Оценка субъектами предпринимательской деятельности</w:t>
      </w:r>
      <w:r>
        <w:rPr>
          <w:rFonts w:ascii="Times New Roman" w:hAnsi="Times New Roman"/>
          <w:color w:val="000000"/>
          <w:sz w:val="28"/>
        </w:rPr>
        <w:t xml:space="preserve"> </w:t>
      </w:r>
    </w:p>
    <w:p w14:paraId="13020000">
      <w:pPr>
        <w:pStyle w:val="Style_12"/>
        <w:spacing w:before="0"/>
        <w:ind/>
        <w:jc w:val="center"/>
        <w:rPr>
          <w:rFonts w:ascii="Times New Roman" w:hAnsi="Times New Roman"/>
          <w:color w:val="000000"/>
          <w:sz w:val="28"/>
        </w:rPr>
      </w:pPr>
      <w:r>
        <w:rPr>
          <w:rFonts w:ascii="Times New Roman" w:hAnsi="Times New Roman"/>
          <w:color w:val="000000"/>
          <w:sz w:val="28"/>
        </w:rPr>
        <w:t>услуг субъектов естественных монополий</w:t>
      </w:r>
    </w:p>
    <w:p w14:paraId="14020000">
      <w:pPr>
        <w:spacing w:after="0"/>
        <w:ind w:firstLine="709" w:left="0"/>
        <w:jc w:val="both"/>
        <w:rPr>
          <w:rFonts w:ascii="Times New Roman" w:hAnsi="Times New Roman"/>
          <w:sz w:val="28"/>
        </w:rPr>
      </w:pPr>
      <w:r>
        <w:rPr>
          <w:rFonts w:ascii="Times New Roman" w:hAnsi="Times New Roman"/>
          <w:sz w:val="28"/>
        </w:rPr>
        <w:t>Субъекты предпринимательской деятельности оценивали удовлетворенность услугами естественных монополий по следующим трем параметрам: сроки получения доступа, сложность (количество) процедур подключения, стоимость подключения.</w:t>
      </w:r>
    </w:p>
    <w:p w14:paraId="15020000">
      <w:pPr>
        <w:spacing w:after="0"/>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ходе опроса большинство респондентов на данный блок вопросов не ответили, поскольку не сталкивался с процессом получения услуг в 2021 году (около 75%</w:t>
      </w:r>
      <w:r>
        <w:rPr>
          <w:rFonts w:ascii="Times New Roman" w:hAnsi="Times New Roman"/>
          <w:sz w:val="28"/>
        </w:rPr>
        <w:t>).</w:t>
      </w:r>
    </w:p>
    <w:p w14:paraId="16020000">
      <w:pPr>
        <w:spacing w:after="0"/>
        <w:ind w:firstLine="709" w:left="0"/>
        <w:jc w:val="both"/>
        <w:rPr>
          <w:rFonts w:ascii="Times New Roman" w:hAnsi="Times New Roman"/>
          <w:sz w:val="28"/>
        </w:rPr>
      </w:pPr>
      <w:r>
        <w:rPr>
          <w:rFonts w:ascii="Times New Roman" w:hAnsi="Times New Roman"/>
          <w:sz w:val="28"/>
        </w:rPr>
        <w:t xml:space="preserve">Представители бизнеса посчитали удовлетворительными сроки подключения к услугам водоснабжения и водоотведения, теплоснабжения, телефонной связи – </w:t>
      </w:r>
      <w:r>
        <w:rPr>
          <w:rFonts w:ascii="Times New Roman" w:hAnsi="Times New Roman"/>
          <w:sz w:val="28"/>
        </w:rPr>
        <w:t>26</w:t>
      </w:r>
      <w:r>
        <w:rPr>
          <w:rFonts w:ascii="Times New Roman" w:hAnsi="Times New Roman"/>
          <w:sz w:val="28"/>
        </w:rPr>
        <w:t xml:space="preserve">% и услуги электроснабжения – </w:t>
      </w:r>
      <w:r>
        <w:rPr>
          <w:rFonts w:ascii="Times New Roman" w:hAnsi="Times New Roman"/>
          <w:sz w:val="28"/>
        </w:rPr>
        <w:t>32</w:t>
      </w:r>
      <w:r>
        <w:rPr>
          <w:rFonts w:ascii="Times New Roman" w:hAnsi="Times New Roman"/>
          <w:sz w:val="28"/>
        </w:rPr>
        <w:t>%.</w:t>
      </w:r>
    </w:p>
    <w:p w14:paraId="17020000">
      <w:pPr>
        <w:spacing w:after="0" w:line="240" w:lineRule="auto"/>
        <w:ind w:firstLine="709" w:left="0"/>
        <w:jc w:val="both"/>
        <w:rPr>
          <w:rFonts w:ascii="Times New Roman" w:hAnsi="Times New Roman"/>
          <w:sz w:val="28"/>
        </w:rPr>
      </w:pPr>
      <w:r>
        <w:rPr>
          <w:rFonts w:ascii="Times New Roman" w:hAnsi="Times New Roman"/>
          <w:sz w:val="28"/>
        </w:rPr>
        <w:t>27</w:t>
      </w:r>
      <w:r>
        <w:rPr>
          <w:rFonts w:ascii="Times New Roman" w:hAnsi="Times New Roman"/>
          <w:sz w:val="28"/>
        </w:rPr>
        <w:t>% участников опроса в текущем году сталкивались с процессом получения доступа к сетям электроснабжения.</w:t>
      </w:r>
    </w:p>
    <w:p w14:paraId="18020000">
      <w:pPr>
        <w:spacing w:after="0" w:line="240" w:lineRule="auto"/>
        <w:ind w:firstLine="709" w:left="0"/>
        <w:jc w:val="both"/>
        <w:rPr>
          <w:rFonts w:ascii="Times New Roman" w:hAnsi="Times New Roman"/>
          <w:sz w:val="28"/>
        </w:rPr>
      </w:pPr>
      <w:r>
        <w:rPr>
          <w:rFonts w:ascii="Times New Roman" w:hAnsi="Times New Roman"/>
          <w:sz w:val="28"/>
        </w:rPr>
        <w:t xml:space="preserve">Из них </w:t>
      </w:r>
      <w:r>
        <w:rPr>
          <w:rFonts w:ascii="Times New Roman" w:hAnsi="Times New Roman"/>
          <w:sz w:val="28"/>
        </w:rPr>
        <w:t>52</w:t>
      </w:r>
      <w:r>
        <w:rPr>
          <w:rFonts w:ascii="Times New Roman" w:hAnsi="Times New Roman"/>
          <w:sz w:val="28"/>
        </w:rPr>
        <w:t xml:space="preserve">% отметили среднее количество процедур в интервальном отрезке 6 до 10 </w:t>
      </w:r>
      <w:r>
        <w:rPr>
          <w:rFonts w:ascii="Times New Roman" w:hAnsi="Times New Roman"/>
          <w:sz w:val="28"/>
        </w:rPr>
        <w:t>услуг</w:t>
      </w:r>
      <w:r>
        <w:rPr>
          <w:rFonts w:ascii="Times New Roman" w:hAnsi="Times New Roman"/>
          <w:sz w:val="28"/>
        </w:rPr>
        <w:t xml:space="preserve">, срок получения услуги во временном отрезке: 5-14 дней -  </w:t>
      </w:r>
      <w:r>
        <w:rPr>
          <w:rFonts w:ascii="Times New Roman" w:hAnsi="Times New Roman"/>
          <w:sz w:val="28"/>
        </w:rPr>
        <w:t>51</w:t>
      </w:r>
      <w:r>
        <w:rPr>
          <w:rFonts w:ascii="Times New Roman" w:hAnsi="Times New Roman"/>
          <w:sz w:val="28"/>
        </w:rPr>
        <w:t xml:space="preserve">% респондентов; 3 месяца – </w:t>
      </w:r>
      <w:r>
        <w:rPr>
          <w:rFonts w:ascii="Times New Roman" w:hAnsi="Times New Roman"/>
          <w:sz w:val="28"/>
        </w:rPr>
        <w:t>21</w:t>
      </w:r>
      <w:r>
        <w:rPr>
          <w:rFonts w:ascii="Times New Roman" w:hAnsi="Times New Roman"/>
          <w:sz w:val="28"/>
        </w:rPr>
        <w:t>%.</w:t>
      </w:r>
    </w:p>
    <w:p w14:paraId="19020000">
      <w:pPr>
        <w:spacing w:after="0" w:line="240" w:lineRule="auto"/>
        <w:ind w:firstLine="708" w:left="0"/>
        <w:jc w:val="both"/>
        <w:rPr>
          <w:rFonts w:ascii="Times New Roman" w:hAnsi="Times New Roman"/>
          <w:sz w:val="28"/>
        </w:rPr>
      </w:pPr>
      <w:r>
        <w:rPr>
          <w:rFonts w:ascii="Times New Roman" w:hAnsi="Times New Roman"/>
          <w:sz w:val="28"/>
        </w:rPr>
        <w:t>21</w:t>
      </w:r>
      <w:r>
        <w:rPr>
          <w:rFonts w:ascii="Times New Roman" w:hAnsi="Times New Roman"/>
          <w:sz w:val="28"/>
        </w:rPr>
        <w:t xml:space="preserve">% участника опроса в текущем году сталкивались с процессом получения доступа к сетям водоснабжения и водоотведения. </w:t>
      </w:r>
      <w:r>
        <w:rPr>
          <w:rFonts w:ascii="Times New Roman" w:hAnsi="Times New Roman"/>
          <w:sz w:val="28"/>
        </w:rPr>
        <w:tab/>
      </w:r>
      <w:r>
        <w:rPr>
          <w:rFonts w:ascii="Times New Roman" w:hAnsi="Times New Roman"/>
          <w:sz w:val="28"/>
        </w:rPr>
        <w:t>Из них 5</w:t>
      </w:r>
      <w:r>
        <w:rPr>
          <w:rFonts w:ascii="Times New Roman" w:hAnsi="Times New Roman"/>
          <w:sz w:val="28"/>
        </w:rPr>
        <w:t>1</w:t>
      </w:r>
      <w:r>
        <w:rPr>
          <w:rFonts w:ascii="Times New Roman" w:hAnsi="Times New Roman"/>
          <w:sz w:val="28"/>
        </w:rPr>
        <w:t xml:space="preserve">% отметили среднее количество процедур в интервальном отрезке 1 до 5 услуг, срок получения услуги во временном отрезке: </w:t>
      </w:r>
      <w:r>
        <w:rPr>
          <w:rFonts w:ascii="Times New Roman" w:hAnsi="Times New Roman"/>
          <w:sz w:val="28"/>
        </w:rPr>
        <w:tab/>
      </w:r>
      <w:r>
        <w:rPr>
          <w:rFonts w:ascii="Times New Roman" w:hAnsi="Times New Roman"/>
          <w:sz w:val="28"/>
        </w:rPr>
        <w:t xml:space="preserve">- 9 дней -  </w:t>
      </w:r>
      <w:r>
        <w:rPr>
          <w:rFonts w:ascii="Times New Roman" w:hAnsi="Times New Roman"/>
          <w:sz w:val="28"/>
        </w:rPr>
        <w:t>21</w:t>
      </w:r>
      <w:r>
        <w:rPr>
          <w:rFonts w:ascii="Times New Roman" w:hAnsi="Times New Roman"/>
          <w:sz w:val="28"/>
        </w:rPr>
        <w:t>% респондентов; 14-20 дней –</w:t>
      </w:r>
      <w:r>
        <w:rPr>
          <w:rFonts w:ascii="Times New Roman" w:hAnsi="Times New Roman"/>
          <w:sz w:val="28"/>
        </w:rPr>
        <w:t>37</w:t>
      </w:r>
      <w:r>
        <w:rPr>
          <w:rFonts w:ascii="Times New Roman" w:hAnsi="Times New Roman"/>
          <w:sz w:val="28"/>
        </w:rPr>
        <w:t xml:space="preserve">%;1-5 месяцев – </w:t>
      </w:r>
      <w:r>
        <w:rPr>
          <w:rFonts w:ascii="Times New Roman" w:hAnsi="Times New Roman"/>
          <w:sz w:val="28"/>
        </w:rPr>
        <w:t>21</w:t>
      </w:r>
      <w:r>
        <w:rPr>
          <w:rFonts w:ascii="Times New Roman" w:hAnsi="Times New Roman"/>
          <w:sz w:val="28"/>
        </w:rPr>
        <w:t>%.</w:t>
      </w:r>
    </w:p>
    <w:p w14:paraId="1A020000">
      <w:pPr>
        <w:spacing w:after="0" w:line="240" w:lineRule="auto"/>
        <w:ind w:firstLine="709" w:left="0"/>
        <w:jc w:val="both"/>
        <w:rPr>
          <w:rFonts w:ascii="Times New Roman" w:hAnsi="Times New Roman"/>
          <w:sz w:val="28"/>
        </w:rPr>
      </w:pPr>
      <w:r>
        <w:rPr>
          <w:rFonts w:ascii="Times New Roman" w:hAnsi="Times New Roman"/>
          <w:sz w:val="28"/>
        </w:rPr>
        <w:t>Анализ стоимости подключения услуги естественных монополий показал, что более всего представители бизнеса не удовлетворены стоимостью подключения к сетям электроснабжения (</w:t>
      </w:r>
      <w:r>
        <w:rPr>
          <w:rFonts w:ascii="Times New Roman" w:hAnsi="Times New Roman"/>
          <w:sz w:val="28"/>
        </w:rPr>
        <w:t>36</w:t>
      </w:r>
      <w:r>
        <w:rPr>
          <w:rFonts w:ascii="Times New Roman" w:hAnsi="Times New Roman"/>
          <w:sz w:val="28"/>
        </w:rPr>
        <w:t>%) и к сетям водоснабжения и водоотведения (</w:t>
      </w:r>
      <w:r>
        <w:rPr>
          <w:rFonts w:ascii="Times New Roman" w:hAnsi="Times New Roman"/>
          <w:sz w:val="28"/>
        </w:rPr>
        <w:t>24</w:t>
      </w:r>
      <w:r>
        <w:rPr>
          <w:rFonts w:ascii="Times New Roman" w:hAnsi="Times New Roman"/>
          <w:sz w:val="28"/>
        </w:rPr>
        <w:t xml:space="preserve">%). </w:t>
      </w:r>
    </w:p>
    <w:p w14:paraId="1B020000">
      <w:pPr>
        <w:spacing w:after="0"/>
        <w:ind w:firstLine="709" w:left="0"/>
        <w:jc w:val="both"/>
        <w:rPr>
          <w:rFonts w:ascii="Times New Roman" w:hAnsi="Times New Roman"/>
          <w:sz w:val="28"/>
        </w:rPr>
      </w:pPr>
      <w:r>
        <w:rPr>
          <w:rFonts w:ascii="Times New Roman" w:hAnsi="Times New Roman"/>
          <w:sz w:val="28"/>
        </w:rPr>
        <w:t xml:space="preserve">В целом оценить услуг естественных монополий респондентами в достоверном ключе не </w:t>
      </w:r>
      <w:r>
        <w:rPr>
          <w:rFonts w:ascii="Times New Roman" w:hAnsi="Times New Roman"/>
          <w:sz w:val="28"/>
        </w:rPr>
        <w:t xml:space="preserve">представляется </w:t>
      </w:r>
      <w:r>
        <w:rPr>
          <w:rFonts w:ascii="Times New Roman" w:hAnsi="Times New Roman"/>
          <w:sz w:val="28"/>
        </w:rPr>
        <w:t>возможным.</w:t>
      </w:r>
    </w:p>
    <w:p w14:paraId="1C020000">
      <w:pPr>
        <w:spacing w:after="0"/>
        <w:ind w:firstLine="709" w:left="0"/>
        <w:jc w:val="both"/>
        <w:rPr>
          <w:rFonts w:ascii="Times New Roman" w:hAnsi="Times New Roman"/>
          <w:sz w:val="28"/>
        </w:rPr>
      </w:pPr>
      <w:r>
        <w:rPr>
          <w:rFonts w:ascii="Times New Roman" w:hAnsi="Times New Roman"/>
          <w:sz w:val="28"/>
        </w:rPr>
        <w:t xml:space="preserve">Анализируя полученные ответы от респондентов, </w:t>
      </w:r>
      <w:r>
        <w:rPr>
          <w:rFonts w:ascii="Times New Roman" w:hAnsi="Times New Roman"/>
          <w:sz w:val="28"/>
        </w:rPr>
        <w:t>большинство опрошенных в 20</w:t>
      </w:r>
      <w:r>
        <w:rPr>
          <w:rFonts w:ascii="Times New Roman" w:hAnsi="Times New Roman"/>
          <w:sz w:val="28"/>
        </w:rPr>
        <w:t>21</w:t>
      </w:r>
      <w:r>
        <w:rPr>
          <w:rFonts w:ascii="Times New Roman" w:hAnsi="Times New Roman"/>
          <w:sz w:val="28"/>
        </w:rPr>
        <w:t xml:space="preserve"> году за услугами в адрес монополий не обращались.</w:t>
      </w:r>
    </w:p>
    <w:p w14:paraId="1D020000">
      <w:pPr>
        <w:spacing w:after="0"/>
        <w:ind w:firstLine="709" w:left="0"/>
        <w:jc w:val="both"/>
        <w:rPr>
          <w:rFonts w:ascii="Times New Roman" w:hAnsi="Times New Roman"/>
          <w:sz w:val="10"/>
        </w:rPr>
      </w:pPr>
    </w:p>
    <w:p w14:paraId="1E020000">
      <w:pPr>
        <w:pStyle w:val="Style_14"/>
        <w:spacing w:before="0"/>
        <w:ind/>
        <w:jc w:val="center"/>
        <w:rPr>
          <w:rFonts w:ascii="Times New Roman" w:hAnsi="Times New Roman"/>
          <w:color w:val="000000"/>
          <w:sz w:val="28"/>
        </w:rPr>
      </w:pPr>
      <w:r>
        <w:rPr>
          <w:rFonts w:ascii="Times New Roman" w:hAnsi="Times New Roman"/>
          <w:color w:val="000000"/>
          <w:sz w:val="28"/>
        </w:rPr>
        <w:t xml:space="preserve">Мнение субъектов предпринимательской деятельности относительно того, на что в первую очередь должна быть направлена работа по развитию конкуренции в </w:t>
      </w:r>
      <w:r>
        <w:rPr>
          <w:rFonts w:ascii="Times New Roman" w:hAnsi="Times New Roman"/>
          <w:color w:val="000000"/>
          <w:sz w:val="28"/>
        </w:rPr>
        <w:t>городе Волгодонске</w:t>
      </w:r>
    </w:p>
    <w:p w14:paraId="1F020000">
      <w:pPr>
        <w:spacing w:after="0"/>
        <w:ind w:firstLine="709" w:left="0"/>
        <w:jc w:val="both"/>
        <w:rPr>
          <w:rFonts w:ascii="Times New Roman" w:hAnsi="Times New Roman"/>
          <w:sz w:val="2"/>
        </w:rPr>
      </w:pPr>
    </w:p>
    <w:p w14:paraId="20020000">
      <w:pPr>
        <w:spacing w:after="0"/>
        <w:ind w:firstLine="709" w:left="0"/>
        <w:jc w:val="both"/>
        <w:rPr>
          <w:rFonts w:ascii="Times New Roman" w:hAnsi="Times New Roman"/>
          <w:sz w:val="28"/>
        </w:rPr>
      </w:pPr>
      <w:r>
        <w:rPr>
          <w:rFonts w:ascii="Times New Roman" w:hAnsi="Times New Roman"/>
          <w:sz w:val="28"/>
        </w:rPr>
        <w:t xml:space="preserve">В результате анализа выбора предпринимателей можно выделить группу ответов, в качестве основных направлений развития конкурентной среды в городе респондентами предлагается (допускалось до трех вариантов ответов) (рисунок 1.16.): </w:t>
      </w:r>
    </w:p>
    <w:p w14:paraId="21020000">
      <w:pPr>
        <w:spacing w:after="0"/>
        <w:ind w:firstLine="709" w:left="0"/>
        <w:jc w:val="both"/>
        <w:rPr>
          <w:rFonts w:ascii="Times New Roman" w:hAnsi="Times New Roman"/>
          <w:sz w:val="28"/>
        </w:rPr>
      </w:pPr>
      <w:r>
        <w:rPr>
          <w:rFonts w:ascii="Times New Roman" w:hAnsi="Times New Roman"/>
          <w:sz w:val="28"/>
        </w:rPr>
        <w:t>- контроль над ростом цен 23%;</w:t>
      </w:r>
    </w:p>
    <w:p w14:paraId="22020000">
      <w:pPr>
        <w:spacing w:after="0"/>
        <w:ind w:firstLine="709" w:left="0"/>
        <w:jc w:val="both"/>
        <w:rPr>
          <w:rFonts w:ascii="Times New Roman" w:hAnsi="Times New Roman"/>
          <w:sz w:val="28"/>
        </w:rPr>
      </w:pPr>
      <w:r>
        <w:rPr>
          <w:rFonts w:ascii="Times New Roman" w:hAnsi="Times New Roman"/>
          <w:sz w:val="28"/>
        </w:rPr>
        <w:t>- обеспечение того, чтобы одна компания не начинала полностью диктовать условия на рынке 18%;</w:t>
      </w:r>
    </w:p>
    <w:p w14:paraId="23020000">
      <w:pPr>
        <w:spacing w:after="0"/>
        <w:ind w:firstLine="709" w:left="0"/>
        <w:jc w:val="both"/>
        <w:rPr>
          <w:rFonts w:ascii="Times New Roman" w:hAnsi="Times New Roman"/>
          <w:sz w:val="28"/>
        </w:rPr>
      </w:pPr>
      <w:r>
        <w:rPr>
          <w:rFonts w:ascii="Times New Roman" w:hAnsi="Times New Roman"/>
          <w:sz w:val="28"/>
        </w:rPr>
        <w:t>- контроль работы естественных монополий, таких как водоснабжение, электро- и теплоснабжение, ж/д и авиатранспорт 15%</w:t>
      </w:r>
    </w:p>
    <w:p w14:paraId="24020000">
      <w:pPr>
        <w:spacing w:after="0"/>
        <w:ind w:firstLine="709" w:left="0"/>
        <w:jc w:val="both"/>
        <w:rPr>
          <w:rFonts w:ascii="Times New Roman" w:hAnsi="Times New Roman"/>
          <w:sz w:val="28"/>
        </w:rPr>
      </w:pPr>
      <w:r>
        <w:rPr>
          <w:rFonts w:ascii="Times New Roman" w:hAnsi="Times New Roman"/>
          <w:sz w:val="28"/>
        </w:rPr>
        <w:t>- поддержка новых направлений развития экономики города (14%);</w:t>
      </w:r>
    </w:p>
    <w:p w14:paraId="25020000">
      <w:pPr>
        <w:spacing w:after="0"/>
        <w:ind w:firstLine="709" w:left="0"/>
        <w:jc w:val="both"/>
        <w:rPr>
          <w:rFonts w:ascii="Times New Roman" w:hAnsi="Times New Roman"/>
          <w:sz w:val="28"/>
        </w:rPr>
      </w:pPr>
      <w:r>
        <w:rPr>
          <w:rFonts w:ascii="Times New Roman" w:hAnsi="Times New Roman"/>
          <w:sz w:val="28"/>
        </w:rPr>
        <w:t>- обеспечение добросовестной конкуренции (12%);</w:t>
      </w:r>
    </w:p>
    <w:p w14:paraId="26020000">
      <w:pPr>
        <w:spacing w:after="0"/>
        <w:ind w:firstLine="709" w:left="0"/>
        <w:jc w:val="both"/>
        <w:rPr>
          <w:rFonts w:ascii="Times New Roman" w:hAnsi="Times New Roman"/>
          <w:sz w:val="28"/>
        </w:rPr>
      </w:pPr>
      <w:r>
        <w:rPr>
          <w:rFonts w:ascii="Times New Roman" w:hAnsi="Times New Roman"/>
          <w:sz w:val="28"/>
        </w:rPr>
        <w:t>- создание системы информирования населения о работе различных компаний, защите прав потребителей и состоянии конкуренции (10%).</w:t>
      </w:r>
    </w:p>
    <w:p w14:paraId="27020000">
      <w:pPr>
        <w:spacing w:after="0"/>
        <w:ind w:firstLine="709" w:left="0"/>
        <w:jc w:val="both"/>
        <w:rPr>
          <w:rFonts w:ascii="Times New Roman" w:hAnsi="Times New Roman"/>
        </w:rPr>
      </w:pPr>
      <w:r>
        <w:rPr>
          <w:rFonts w:ascii="Times New Roman" w:hAnsi="Times New Roman"/>
        </w:rPr>
        <w:drawing>
          <wp:inline>
            <wp:extent cx="5771007" cy="3133217"/>
            <wp:docPr hidden="false" id="32" name="Picture 32"/>
            <a:graphic>
              <a:graphicData uri="http://schemas.openxmlformats.org/drawingml/2006/picture">
                <pic:pic>
                  <pic:nvPicPr>
                    <pic:cNvPr hidden="false" id="31" name="Picture 31"/>
                    <pic:cNvPicPr preferRelativeResize="true"/>
                  </pic:nvPicPr>
                  <pic:blipFill>
                    <a:blip r:embed="rId19"/>
                    <a:srcRect b="0" l="0" r="0" t="0"/>
                    <a:stretch/>
                  </pic:blipFill>
                  <pic:spPr>
                    <a:xfrm flipH="false" flipV="false" rot="0">
                      <a:ext cx="5771007" cy="3133217"/>
                    </a:xfrm>
                    <a:prstGeom prst="rect"/>
                  </pic:spPr>
                </pic:pic>
              </a:graphicData>
            </a:graphic>
          </wp:inline>
        </w:drawing>
      </w:r>
    </w:p>
    <w:p w14:paraId="28020000">
      <w:pPr>
        <w:spacing w:after="0"/>
        <w:ind w:firstLine="709" w:left="0"/>
        <w:jc w:val="both"/>
        <w:rPr>
          <w:rFonts w:ascii="Times New Roman" w:hAnsi="Times New Roman"/>
          <w:sz w:val="20"/>
        </w:rPr>
      </w:pPr>
      <w:r>
        <w:rPr>
          <w:rFonts w:ascii="Times New Roman" w:hAnsi="Times New Roman"/>
          <w:sz w:val="20"/>
        </w:rPr>
        <w:t xml:space="preserve">Рисунок </w:t>
      </w:r>
      <w:r>
        <w:rPr>
          <w:rFonts w:ascii="Times New Roman" w:hAnsi="Times New Roman"/>
          <w:sz w:val="20"/>
        </w:rPr>
        <w:t>1.16</w:t>
      </w:r>
      <w:r>
        <w:rPr>
          <w:rFonts w:ascii="Times New Roman" w:hAnsi="Times New Roman"/>
          <w:sz w:val="20"/>
        </w:rPr>
        <w:t xml:space="preserve">.Распределение мнения респондентов относительно направлений развития конкуренции в </w:t>
      </w:r>
      <w:r>
        <w:rPr>
          <w:rFonts w:ascii="Times New Roman" w:hAnsi="Times New Roman"/>
          <w:sz w:val="20"/>
        </w:rPr>
        <w:t>городе Волгодонске</w:t>
      </w:r>
      <w:r>
        <w:rPr>
          <w:rFonts w:ascii="Times New Roman" w:hAnsi="Times New Roman"/>
          <w:sz w:val="20"/>
        </w:rPr>
        <w:t>, % к опрошенным</w:t>
      </w:r>
    </w:p>
    <w:p w14:paraId="29020000">
      <w:pPr>
        <w:spacing w:after="0"/>
        <w:ind/>
        <w:jc w:val="center"/>
        <w:rPr>
          <w:rFonts w:ascii="Times New Roman" w:hAnsi="Times New Roman"/>
          <w:b w:val="1"/>
          <w:sz w:val="28"/>
        </w:rPr>
      </w:pPr>
      <w:r>
        <w:rPr>
          <w:rFonts w:ascii="Times New Roman" w:hAnsi="Times New Roman"/>
          <w:b w:val="1"/>
          <w:sz w:val="28"/>
        </w:rPr>
        <w:t>Выводы</w:t>
      </w:r>
    </w:p>
    <w:p w14:paraId="2A020000">
      <w:pPr>
        <w:spacing w:after="0"/>
        <w:ind w:firstLine="709" w:left="0"/>
        <w:jc w:val="both"/>
        <w:rPr>
          <w:rFonts w:ascii="Times New Roman" w:hAnsi="Times New Roman"/>
          <w:sz w:val="28"/>
        </w:rPr>
      </w:pPr>
      <w:r>
        <w:rPr>
          <w:rFonts w:ascii="Times New Roman" w:hAnsi="Times New Roman"/>
          <w:sz w:val="28"/>
        </w:rPr>
        <w:t xml:space="preserve">В ходе опроса было изучено мнение преимущественно владельцев бизнеса </w:t>
      </w:r>
      <w:r>
        <w:rPr>
          <w:rFonts w:ascii="Times New Roman" w:hAnsi="Times New Roman"/>
          <w:sz w:val="28"/>
        </w:rPr>
        <w:t xml:space="preserve">(индивидуальные предприниматели) </w:t>
      </w:r>
      <w:r>
        <w:rPr>
          <w:rFonts w:ascii="Times New Roman" w:hAnsi="Times New Roman"/>
          <w:sz w:val="28"/>
        </w:rPr>
        <w:t>и руководителей (высшего или среднего звена) организаций, осуществляющих деятельность более 5 лет. Респонденты представляли микропредприятия. По информации респондентов, большая часть организаций, участвовавших в опросе, занима</w:t>
      </w:r>
      <w:r>
        <w:rPr>
          <w:rFonts w:ascii="Times New Roman" w:hAnsi="Times New Roman"/>
          <w:sz w:val="28"/>
        </w:rPr>
        <w:t>ю</w:t>
      </w:r>
      <w:r>
        <w:rPr>
          <w:rFonts w:ascii="Times New Roman" w:hAnsi="Times New Roman"/>
          <w:sz w:val="28"/>
        </w:rPr>
        <w:t xml:space="preserve">тся розничной торговлей продовольственными и непродовольственными товарами населению. Основным рынком сбыта продукции (услуг) является рынки города и Ростовской области. </w:t>
      </w:r>
    </w:p>
    <w:p w14:paraId="2B020000">
      <w:pPr>
        <w:spacing w:after="0"/>
        <w:ind w:firstLine="709" w:left="0"/>
        <w:jc w:val="both"/>
        <w:rPr>
          <w:rFonts w:ascii="Times New Roman" w:hAnsi="Times New Roman"/>
          <w:sz w:val="28"/>
        </w:rPr>
      </w:pPr>
      <w:r>
        <w:rPr>
          <w:rFonts w:ascii="Times New Roman" w:hAnsi="Times New Roman"/>
          <w:sz w:val="28"/>
        </w:rPr>
        <w:t xml:space="preserve">Условия ведения бизнеса в </w:t>
      </w:r>
      <w:r>
        <w:rPr>
          <w:rFonts w:ascii="Times New Roman" w:hAnsi="Times New Roman"/>
          <w:sz w:val="28"/>
        </w:rPr>
        <w:t>городе Волгодонске</w:t>
      </w:r>
      <w:r>
        <w:rPr>
          <w:rFonts w:ascii="Times New Roman" w:hAnsi="Times New Roman"/>
          <w:sz w:val="28"/>
        </w:rPr>
        <w:t xml:space="preserve"> в целом конкуренты. </w:t>
      </w:r>
      <w:r>
        <w:rPr>
          <w:rFonts w:ascii="Times New Roman" w:hAnsi="Times New Roman"/>
          <w:sz w:val="28"/>
        </w:rPr>
        <w:t>По итогам 20</w:t>
      </w:r>
      <w:r>
        <w:rPr>
          <w:rFonts w:ascii="Times New Roman" w:hAnsi="Times New Roman"/>
          <w:sz w:val="28"/>
        </w:rPr>
        <w:t>21</w:t>
      </w:r>
      <w:r>
        <w:rPr>
          <w:rFonts w:ascii="Times New Roman" w:hAnsi="Times New Roman"/>
          <w:sz w:val="28"/>
        </w:rPr>
        <w:t xml:space="preserve"> года </w:t>
      </w:r>
      <w:r>
        <w:rPr>
          <w:rFonts w:ascii="Times New Roman" w:hAnsi="Times New Roman"/>
          <w:sz w:val="28"/>
        </w:rPr>
        <w:t>69%</w:t>
      </w:r>
      <w:r>
        <w:rPr>
          <w:rFonts w:ascii="Times New Roman" w:hAnsi="Times New Roman"/>
          <w:sz w:val="28"/>
        </w:rPr>
        <w:t xml:space="preserve"> респондентов отметили, что ведут бизнес в условиях высокой и очень высокой конкуренции</w:t>
      </w:r>
      <w:r>
        <w:rPr>
          <w:rFonts w:ascii="Times New Roman" w:hAnsi="Times New Roman"/>
          <w:sz w:val="28"/>
        </w:rPr>
        <w:t>.</w:t>
      </w:r>
    </w:p>
    <w:p w14:paraId="2C020000">
      <w:pPr>
        <w:pStyle w:val="Style_13"/>
        <w:spacing w:line="276" w:lineRule="auto"/>
        <w:ind w:firstLine="709" w:left="0"/>
        <w:jc w:val="both"/>
        <w:rPr>
          <w:rFonts w:ascii="Times New Roman" w:hAnsi="Times New Roman"/>
          <w:sz w:val="28"/>
        </w:rPr>
      </w:pPr>
      <w:r>
        <w:rPr>
          <w:rFonts w:ascii="Times New Roman" w:hAnsi="Times New Roman"/>
          <w:sz w:val="28"/>
        </w:rPr>
        <w:t xml:space="preserve">Представители бизнеса, принявшие участие в опросе, в целом положительно рассматривают как количество поставщиков, так и состояние конкуренции между ними. Тем не менее </w:t>
      </w:r>
      <w:r>
        <w:rPr>
          <w:rFonts w:ascii="Times New Roman" w:hAnsi="Times New Roman"/>
          <w:sz w:val="28"/>
        </w:rPr>
        <w:t>незначительное число</w:t>
      </w:r>
      <w:r>
        <w:rPr>
          <w:rFonts w:ascii="Times New Roman" w:hAnsi="Times New Roman"/>
          <w:sz w:val="28"/>
        </w:rPr>
        <w:t xml:space="preserve"> респондентов указа</w:t>
      </w:r>
      <w:r>
        <w:rPr>
          <w:rFonts w:ascii="Times New Roman" w:hAnsi="Times New Roman"/>
          <w:sz w:val="28"/>
        </w:rPr>
        <w:t>ли</w:t>
      </w:r>
      <w:r>
        <w:rPr>
          <w:rFonts w:ascii="Times New Roman" w:hAnsi="Times New Roman"/>
          <w:sz w:val="28"/>
        </w:rPr>
        <w:t>, что состояние конкуренции между поставщиками оценива</w:t>
      </w:r>
      <w:r>
        <w:rPr>
          <w:rFonts w:ascii="Times New Roman" w:hAnsi="Times New Roman"/>
          <w:sz w:val="28"/>
        </w:rPr>
        <w:t xml:space="preserve">ется </w:t>
      </w:r>
      <w:r>
        <w:rPr>
          <w:rFonts w:ascii="Times New Roman" w:hAnsi="Times New Roman"/>
          <w:sz w:val="28"/>
        </w:rPr>
        <w:t xml:space="preserve">как неудовлетворительное. </w:t>
      </w:r>
    </w:p>
    <w:p w14:paraId="2D020000">
      <w:pPr>
        <w:pStyle w:val="Style_13"/>
        <w:spacing w:line="276" w:lineRule="auto"/>
        <w:ind w:firstLine="709" w:left="0"/>
        <w:jc w:val="both"/>
        <w:rPr>
          <w:rFonts w:ascii="Times New Roman" w:hAnsi="Times New Roman"/>
          <w:sz w:val="28"/>
        </w:rPr>
      </w:pPr>
      <w:r>
        <w:rPr>
          <w:rFonts w:ascii="Times New Roman" w:hAnsi="Times New Roman"/>
          <w:sz w:val="28"/>
        </w:rPr>
        <w:t xml:space="preserve">Уровень доступности, понятности и удобства получения </w:t>
      </w:r>
      <w:r>
        <w:rPr>
          <w:rFonts w:ascii="Times New Roman" w:hAnsi="Times New Roman"/>
          <w:sz w:val="28"/>
        </w:rPr>
        <w:t>официальной информации о состоянии конкурентной среды</w:t>
      </w:r>
      <w:r>
        <w:rPr>
          <w:rFonts w:ascii="Times New Roman" w:hAnsi="Times New Roman"/>
          <w:sz w:val="28"/>
        </w:rPr>
        <w:t xml:space="preserve"> </w:t>
      </w:r>
      <w:r>
        <w:rPr>
          <w:rFonts w:ascii="Times New Roman" w:hAnsi="Times New Roman"/>
          <w:sz w:val="28"/>
        </w:rPr>
        <w:t>и деятельности по содействию развитию конкуренции</w:t>
      </w:r>
      <w:r>
        <w:rPr>
          <w:rFonts w:ascii="Times New Roman" w:hAnsi="Times New Roman"/>
          <w:sz w:val="28"/>
        </w:rPr>
        <w:t xml:space="preserve"> большую часть бизнес-сообщества в </w:t>
      </w:r>
      <w:r>
        <w:rPr>
          <w:rFonts w:ascii="Times New Roman" w:hAnsi="Times New Roman"/>
          <w:sz w:val="28"/>
        </w:rPr>
        <w:t>большей</w:t>
      </w:r>
      <w:r>
        <w:rPr>
          <w:rFonts w:ascii="Times New Roman" w:hAnsi="Times New Roman"/>
          <w:sz w:val="28"/>
        </w:rPr>
        <w:t xml:space="preserve"> мере устраивает. Незначительное количество респондент высказал</w:t>
      </w:r>
      <w:r>
        <w:rPr>
          <w:rFonts w:ascii="Times New Roman" w:hAnsi="Times New Roman"/>
          <w:sz w:val="28"/>
        </w:rPr>
        <w:t>и</w:t>
      </w:r>
      <w:r>
        <w:rPr>
          <w:rFonts w:ascii="Times New Roman" w:hAnsi="Times New Roman"/>
          <w:sz w:val="28"/>
        </w:rPr>
        <w:t xml:space="preserve"> неудовлетворенность характеристиками </w:t>
      </w:r>
      <w:r>
        <w:rPr>
          <w:rFonts w:ascii="Times New Roman" w:hAnsi="Times New Roman"/>
          <w:sz w:val="28"/>
        </w:rPr>
        <w:t>официальной информации о состоянии конкурентной среды</w:t>
      </w:r>
      <w:r>
        <w:rPr>
          <w:rFonts w:ascii="Times New Roman" w:hAnsi="Times New Roman"/>
          <w:sz w:val="28"/>
        </w:rPr>
        <w:t xml:space="preserve"> </w:t>
      </w:r>
      <w:r>
        <w:rPr>
          <w:rFonts w:ascii="Times New Roman" w:hAnsi="Times New Roman"/>
          <w:sz w:val="28"/>
        </w:rPr>
        <w:t>и деятельности по содействию развитию конкуренции.</w:t>
      </w:r>
      <w:r>
        <w:rPr>
          <w:rFonts w:ascii="Times New Roman" w:hAnsi="Times New Roman"/>
          <w:sz w:val="28"/>
        </w:rPr>
        <w:t xml:space="preserve"> </w:t>
      </w:r>
    </w:p>
    <w:p w14:paraId="2E020000">
      <w:pPr>
        <w:spacing w:after="0"/>
        <w:ind w:firstLine="709" w:left="0"/>
        <w:jc w:val="both"/>
        <w:rPr>
          <w:rFonts w:ascii="Times New Roman" w:hAnsi="Times New Roman"/>
          <w:sz w:val="28"/>
        </w:rPr>
      </w:pPr>
      <w:r>
        <w:rPr>
          <w:rFonts w:ascii="Times New Roman" w:hAnsi="Times New Roman"/>
          <w:sz w:val="28"/>
        </w:rPr>
        <w:t xml:space="preserve">В своей повседневной деятельности бизнес сталкивается с целым рядом проблем, от конкуренции до </w:t>
      </w:r>
      <w:r>
        <w:rPr>
          <w:rFonts w:ascii="Times New Roman" w:hAnsi="Times New Roman"/>
          <w:sz w:val="28"/>
        </w:rPr>
        <w:t>изменения федерального законодательства</w:t>
      </w:r>
      <w:r>
        <w:rPr>
          <w:rFonts w:ascii="Times New Roman" w:hAnsi="Times New Roman"/>
          <w:sz w:val="28"/>
        </w:rPr>
        <w:t xml:space="preserve">. </w:t>
      </w:r>
      <w:r>
        <w:rPr>
          <w:rFonts w:ascii="Times New Roman" w:hAnsi="Times New Roman"/>
          <w:sz w:val="28"/>
        </w:rPr>
        <w:t xml:space="preserve">Административные барьеры на сегодняшний момент все еще являются препятствием для ведения бизнеса в городе. </w:t>
      </w:r>
    </w:p>
    <w:p w14:paraId="2F020000">
      <w:pPr>
        <w:spacing w:after="0"/>
        <w:ind w:firstLine="709" w:left="0"/>
        <w:jc w:val="both"/>
        <w:rPr>
          <w:rFonts w:ascii="Times New Roman" w:hAnsi="Times New Roman"/>
          <w:sz w:val="28"/>
        </w:rPr>
      </w:pPr>
      <w:r>
        <w:rPr>
          <w:rFonts w:ascii="Times New Roman" w:hAnsi="Times New Roman"/>
          <w:sz w:val="28"/>
        </w:rPr>
        <w:t xml:space="preserve">По мнению опрошенных, наиболее сильное отрицательное влияние на деятельность бизнеса в городе оказывают высокие налоги. На этот административный барьер </w:t>
      </w:r>
      <w:r>
        <w:rPr>
          <w:rFonts w:ascii="Times New Roman" w:hAnsi="Times New Roman"/>
          <w:sz w:val="28"/>
        </w:rPr>
        <w:t xml:space="preserve">пришлось </w:t>
      </w:r>
      <w:r>
        <w:rPr>
          <w:rFonts w:ascii="Times New Roman" w:hAnsi="Times New Roman"/>
          <w:sz w:val="28"/>
        </w:rPr>
        <w:t>57</w:t>
      </w:r>
      <w:r>
        <w:rPr>
          <w:rFonts w:ascii="Times New Roman" w:hAnsi="Times New Roman"/>
          <w:sz w:val="28"/>
        </w:rPr>
        <w:t>%</w:t>
      </w:r>
      <w:r>
        <w:rPr>
          <w:rFonts w:ascii="Times New Roman" w:hAnsi="Times New Roman"/>
          <w:sz w:val="28"/>
        </w:rPr>
        <w:t xml:space="preserve"> от общего числа ответов. На втором месте по частоте выбора оказался такой барьер, как </w:t>
      </w:r>
      <w:r>
        <w:rPr>
          <w:rFonts w:ascii="Times New Roman" w:hAnsi="Times New Roman"/>
          <w:sz w:val="28"/>
        </w:rPr>
        <w:t>нестабильность российского законодательства, регулирующего предпринимательскую деятельность и экономики в целом (28%).</w:t>
      </w:r>
    </w:p>
    <w:p w14:paraId="30020000">
      <w:pPr>
        <w:spacing w:after="0"/>
        <w:ind w:firstLine="709" w:left="0"/>
        <w:jc w:val="both"/>
        <w:rPr>
          <w:rFonts w:ascii="Times New Roman" w:hAnsi="Times New Roman"/>
          <w:sz w:val="28"/>
        </w:rPr>
      </w:pPr>
      <w:r>
        <w:rPr>
          <w:rFonts w:ascii="Times New Roman" w:hAnsi="Times New Roman"/>
          <w:sz w:val="28"/>
        </w:rPr>
        <w:t xml:space="preserve">56% от числа респондентов отметила, что имеющиеся административные барьеры преодолимы без существенных затрат. </w:t>
      </w:r>
    </w:p>
    <w:p w14:paraId="31020000">
      <w:pPr>
        <w:spacing w:after="0"/>
        <w:ind w:firstLine="709" w:left="0"/>
        <w:jc w:val="both"/>
        <w:rPr>
          <w:rFonts w:ascii="Times New Roman" w:hAnsi="Times New Roman"/>
          <w:sz w:val="28"/>
        </w:rPr>
      </w:pPr>
      <w:r>
        <w:rPr>
          <w:rFonts w:ascii="Times New Roman" w:hAnsi="Times New Roman"/>
          <w:sz w:val="28"/>
        </w:rPr>
        <w:t>О том, что барьеры отсутствуют, считают 32% опрошенных, а барьеры, преодолимые при осуществлении значительных затрат – 12%.</w:t>
      </w:r>
      <w:r>
        <w:rPr>
          <w:rFonts w:ascii="Times New Roman" w:hAnsi="Times New Roman"/>
          <w:sz w:val="28"/>
        </w:rPr>
        <w:t xml:space="preserve"> </w:t>
      </w:r>
    </w:p>
    <w:p w14:paraId="32020000">
      <w:pPr>
        <w:spacing w:after="0"/>
        <w:ind w:firstLine="709" w:left="0"/>
        <w:jc w:val="both"/>
        <w:rPr>
          <w:rFonts w:ascii="Times New Roman" w:hAnsi="Times New Roman"/>
          <w:sz w:val="28"/>
        </w:rPr>
      </w:pPr>
      <w:r>
        <w:rPr>
          <w:rFonts w:ascii="Times New Roman" w:hAnsi="Times New Roman"/>
          <w:sz w:val="28"/>
        </w:rPr>
        <w:t>Оценивая динамику про</w:t>
      </w:r>
      <w:r>
        <w:rPr>
          <w:rFonts w:ascii="Times New Roman" w:hAnsi="Times New Roman"/>
          <w:sz w:val="28"/>
        </w:rPr>
        <w:t>блем административных барьеров 53%</w:t>
      </w:r>
      <w:r>
        <w:rPr>
          <w:rFonts w:ascii="Times New Roman" w:hAnsi="Times New Roman"/>
          <w:sz w:val="28"/>
        </w:rPr>
        <w:t xml:space="preserve"> опрошенных считает, что за последние 3 года</w:t>
      </w:r>
      <w:r>
        <w:rPr>
          <w:rFonts w:ascii="Times New Roman" w:hAnsi="Times New Roman"/>
          <w:sz w:val="28"/>
        </w:rPr>
        <w:t xml:space="preserve"> </w:t>
      </w:r>
      <w:r>
        <w:rPr>
          <w:rFonts w:ascii="Times New Roman" w:hAnsi="Times New Roman"/>
          <w:sz w:val="28"/>
        </w:rPr>
        <w:t xml:space="preserve">бизнесу стало проще преодолевать уровень административных барьеров, </w:t>
      </w:r>
      <w:r>
        <w:rPr>
          <w:rFonts w:ascii="Times New Roman" w:hAnsi="Times New Roman"/>
          <w:sz w:val="28"/>
        </w:rPr>
        <w:t>21% из числа опрощенных, считают, что бизнесу стало сложнее преодолевать административные барьеры, чем раньше, а 11% считают, что барьеры отсутствуют, 7 % респондентов полагают, что барьеры полностью устранены.</w:t>
      </w:r>
    </w:p>
    <w:p w14:paraId="33020000">
      <w:pPr>
        <w:spacing w:after="0"/>
        <w:ind w:firstLine="709" w:left="0"/>
        <w:jc w:val="both"/>
        <w:rPr>
          <w:rFonts w:ascii="Times New Roman" w:hAnsi="Times New Roman"/>
          <w:sz w:val="28"/>
        </w:rPr>
      </w:pPr>
      <w:r>
        <w:rPr>
          <w:rFonts w:ascii="Times New Roman" w:hAnsi="Times New Roman"/>
          <w:sz w:val="28"/>
        </w:rPr>
        <w:t>По вопросам преодоления административных</w:t>
      </w:r>
      <w:r>
        <w:rPr>
          <w:rFonts w:ascii="Times New Roman" w:hAnsi="Times New Roman"/>
          <w:sz w:val="28"/>
        </w:rPr>
        <w:t xml:space="preserve"> барьеров оценка предпринимателями тенденций последних 3-х лет показывает, что они полностью устранены или ситуация не изменилась</w:t>
      </w:r>
      <w:r>
        <w:rPr>
          <w:rFonts w:ascii="Times New Roman" w:hAnsi="Times New Roman"/>
          <w:sz w:val="28"/>
        </w:rPr>
        <w:t xml:space="preserve"> </w:t>
      </w:r>
      <w:r>
        <w:rPr>
          <w:rFonts w:ascii="Times New Roman" w:hAnsi="Times New Roman"/>
          <w:sz w:val="28"/>
        </w:rPr>
        <w:t>(7%  и 53% респондентов соответственно).</w:t>
      </w:r>
    </w:p>
    <w:p w14:paraId="34020000">
      <w:pPr>
        <w:spacing w:after="0"/>
        <w:ind w:firstLine="709" w:left="0"/>
        <w:jc w:val="both"/>
        <w:rPr>
          <w:rFonts w:ascii="Times New Roman" w:hAnsi="Times New Roman"/>
          <w:sz w:val="28"/>
        </w:rPr>
      </w:pPr>
      <w:r>
        <w:rPr>
          <w:rFonts w:ascii="Times New Roman" w:hAnsi="Times New Roman"/>
          <w:sz w:val="28"/>
        </w:rPr>
        <w:t xml:space="preserve">Субъекты предпринимательской деятельности заявили, что </w:t>
      </w:r>
      <w:r>
        <w:rPr>
          <w:rFonts w:ascii="Times New Roman" w:hAnsi="Times New Roman"/>
          <w:sz w:val="28"/>
        </w:rPr>
        <w:t>в надзорные</w:t>
      </w:r>
      <w:r>
        <w:rPr>
          <w:rFonts w:ascii="Times New Roman" w:hAnsi="Times New Roman"/>
          <w:sz w:val="28"/>
        </w:rPr>
        <w:t xml:space="preserve"> органы </w:t>
      </w:r>
      <w:r>
        <w:rPr>
          <w:rFonts w:ascii="Times New Roman" w:hAnsi="Times New Roman"/>
          <w:sz w:val="28"/>
        </w:rPr>
        <w:t>за защитой своих прав</w:t>
      </w:r>
      <w:r>
        <w:rPr>
          <w:rFonts w:ascii="Times New Roman" w:hAnsi="Times New Roman"/>
          <w:sz w:val="28"/>
        </w:rPr>
        <w:t xml:space="preserve"> в 20</w:t>
      </w:r>
      <w:r>
        <w:rPr>
          <w:rFonts w:ascii="Times New Roman" w:hAnsi="Times New Roman"/>
          <w:sz w:val="28"/>
        </w:rPr>
        <w:t>21</w:t>
      </w:r>
      <w:r>
        <w:rPr>
          <w:rFonts w:ascii="Times New Roman" w:hAnsi="Times New Roman"/>
          <w:sz w:val="28"/>
        </w:rPr>
        <w:t xml:space="preserve">году </w:t>
      </w:r>
      <w:r>
        <w:rPr>
          <w:rFonts w:ascii="Times New Roman" w:hAnsi="Times New Roman"/>
          <w:sz w:val="28"/>
        </w:rPr>
        <w:t>не обращалось 52% опрощенных, 48%</w:t>
      </w:r>
      <w:r>
        <w:rPr>
          <w:rFonts w:ascii="Times New Roman" w:hAnsi="Times New Roman"/>
          <w:sz w:val="28"/>
        </w:rPr>
        <w:t xml:space="preserve"> обращались в Роспотребнадзор и Администрацию города </w:t>
      </w:r>
      <w:r>
        <w:rPr>
          <w:rFonts w:ascii="Times New Roman" w:hAnsi="Times New Roman"/>
          <w:sz w:val="28"/>
        </w:rPr>
        <w:t>Волгодонска,</w:t>
      </w:r>
      <w:r>
        <w:rPr>
          <w:rFonts w:ascii="Times New Roman" w:hAnsi="Times New Roman"/>
          <w:sz w:val="28"/>
        </w:rPr>
        <w:t xml:space="preserve"> отделы и т.д.</w:t>
      </w:r>
    </w:p>
    <w:p w14:paraId="35020000">
      <w:pPr>
        <w:spacing w:after="0"/>
        <w:ind w:firstLine="709" w:left="0"/>
        <w:jc w:val="both"/>
        <w:rPr>
          <w:rFonts w:ascii="Times New Roman" w:hAnsi="Times New Roman"/>
          <w:sz w:val="28"/>
        </w:rPr>
      </w:pPr>
      <w:r>
        <w:rPr>
          <w:rFonts w:ascii="Times New Roman" w:hAnsi="Times New Roman"/>
          <w:sz w:val="28"/>
        </w:rPr>
        <w:t xml:space="preserve">Из опроса стало понятно, что </w:t>
      </w:r>
      <w:r>
        <w:rPr>
          <w:rFonts w:ascii="Times New Roman" w:hAnsi="Times New Roman"/>
          <w:sz w:val="28"/>
        </w:rPr>
        <w:t xml:space="preserve">большая часть </w:t>
      </w:r>
      <w:r>
        <w:rPr>
          <w:rFonts w:ascii="Times New Roman" w:hAnsi="Times New Roman"/>
          <w:sz w:val="28"/>
        </w:rPr>
        <w:t>опрошенных за услугами в адрес естественных монополий не обращались.</w:t>
      </w:r>
      <w:r>
        <w:rPr>
          <w:rFonts w:ascii="Times New Roman" w:hAnsi="Times New Roman"/>
          <w:color w:val="000000"/>
          <w:sz w:val="28"/>
        </w:rPr>
        <w:t xml:space="preserve"> </w:t>
      </w:r>
      <w:r>
        <w:rPr>
          <w:rFonts w:ascii="Times New Roman" w:hAnsi="Times New Roman"/>
          <w:sz w:val="28"/>
        </w:rPr>
        <w:t>С учетом полученной информации данные является не полными и оценить услуг</w:t>
      </w:r>
      <w:r>
        <w:rPr>
          <w:rFonts w:ascii="Times New Roman" w:hAnsi="Times New Roman"/>
          <w:sz w:val="28"/>
        </w:rPr>
        <w:t>и</w:t>
      </w:r>
      <w:r>
        <w:rPr>
          <w:rFonts w:ascii="Times New Roman" w:hAnsi="Times New Roman"/>
          <w:sz w:val="28"/>
        </w:rPr>
        <w:t xml:space="preserve"> естественных монополий респондентами в достоверном ключе не представилось возможным.</w:t>
      </w:r>
    </w:p>
    <w:p w14:paraId="36020000">
      <w:pPr>
        <w:spacing w:after="0"/>
        <w:ind w:firstLine="709" w:left="0"/>
        <w:jc w:val="both"/>
        <w:rPr>
          <w:rFonts w:ascii="Times New Roman" w:hAnsi="Times New Roman"/>
          <w:sz w:val="28"/>
        </w:rPr>
      </w:pPr>
      <w:r>
        <w:rPr>
          <w:rFonts w:ascii="Times New Roman" w:hAnsi="Times New Roman"/>
          <w:sz w:val="28"/>
        </w:rPr>
        <w:t>В результате анализа выбора предпринимателей можно выделить группу ответов, в качестве основных направлений развития конкурентной среды в городе респондентами предлагается:</w:t>
      </w:r>
    </w:p>
    <w:p w14:paraId="37020000">
      <w:pPr>
        <w:spacing w:after="0"/>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контроль над ростом цен;</w:t>
      </w:r>
    </w:p>
    <w:p w14:paraId="38020000">
      <w:pPr>
        <w:spacing w:after="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обеспечение того, чтобы одна компания не начинала полностью диктовать условия на рынке; </w:t>
      </w:r>
    </w:p>
    <w:p w14:paraId="39020000">
      <w:pPr>
        <w:spacing w:after="0"/>
        <w:ind w:firstLine="709" w:left="0"/>
        <w:jc w:val="both"/>
        <w:rPr>
          <w:rFonts w:ascii="Times New Roman" w:hAnsi="Times New Roman"/>
          <w:sz w:val="28"/>
        </w:rPr>
      </w:pPr>
      <w:r>
        <w:rPr>
          <w:rFonts w:ascii="Times New Roman" w:hAnsi="Times New Roman"/>
          <w:sz w:val="28"/>
        </w:rPr>
        <w:t>- обеспечение добросовестной конкуренции;</w:t>
      </w:r>
    </w:p>
    <w:p w14:paraId="3A020000">
      <w:pPr>
        <w:spacing w:after="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создание системы информирования населения о работе различных компаний, защите прав потребителей и состоянии конкуренции</w:t>
      </w:r>
      <w:r>
        <w:rPr>
          <w:rFonts w:ascii="Times New Roman" w:hAnsi="Times New Roman"/>
          <w:sz w:val="28"/>
        </w:rPr>
        <w:t>.</w:t>
      </w:r>
    </w:p>
    <w:p w14:paraId="3B020000">
      <w:pPr>
        <w:spacing w:after="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поддержка новых направлений развития экономики города</w:t>
      </w:r>
      <w:r>
        <w:rPr>
          <w:rFonts w:ascii="Times New Roman" w:hAnsi="Times New Roman"/>
          <w:sz w:val="28"/>
        </w:rPr>
        <w:t>.</w:t>
      </w:r>
    </w:p>
    <w:p w14:paraId="3C020000">
      <w:pPr>
        <w:spacing w:after="0"/>
        <w:ind w:firstLine="709" w:left="0"/>
        <w:jc w:val="center"/>
        <w:rPr>
          <w:rFonts w:ascii="Times New Roman" w:hAnsi="Times New Roman"/>
          <w:b w:val="1"/>
          <w:sz w:val="28"/>
        </w:rPr>
      </w:pPr>
    </w:p>
    <w:p w14:paraId="3D020000">
      <w:pPr>
        <w:spacing w:after="0"/>
        <w:ind w:firstLine="709" w:left="0"/>
        <w:jc w:val="center"/>
        <w:rPr>
          <w:rFonts w:ascii="Times New Roman" w:hAnsi="Times New Roman"/>
          <w:b w:val="1"/>
          <w:sz w:val="28"/>
        </w:rPr>
      </w:pPr>
    </w:p>
    <w:p w14:paraId="3E020000">
      <w:pPr>
        <w:spacing w:after="0"/>
        <w:ind w:firstLine="709" w:left="0"/>
        <w:jc w:val="center"/>
        <w:rPr>
          <w:rFonts w:ascii="Times New Roman" w:hAnsi="Times New Roman"/>
          <w:b w:val="1"/>
          <w:sz w:val="28"/>
        </w:rPr>
      </w:pPr>
    </w:p>
    <w:p w14:paraId="3F020000">
      <w:pPr>
        <w:spacing w:after="0"/>
        <w:ind w:firstLine="709" w:left="0"/>
        <w:jc w:val="center"/>
        <w:rPr>
          <w:rFonts w:ascii="Times New Roman" w:hAnsi="Times New Roman"/>
          <w:b w:val="1"/>
          <w:sz w:val="28"/>
        </w:rPr>
      </w:pPr>
    </w:p>
    <w:p w14:paraId="40020000">
      <w:pPr>
        <w:spacing w:after="0"/>
        <w:ind w:firstLine="709" w:left="0"/>
        <w:jc w:val="center"/>
        <w:rPr>
          <w:rFonts w:ascii="Times New Roman" w:hAnsi="Times New Roman"/>
          <w:b w:val="1"/>
          <w:sz w:val="28"/>
        </w:rPr>
      </w:pPr>
    </w:p>
    <w:p w14:paraId="41020000">
      <w:pPr>
        <w:spacing w:after="0"/>
        <w:ind w:firstLine="709" w:left="0"/>
        <w:jc w:val="center"/>
        <w:rPr>
          <w:rFonts w:ascii="Times New Roman" w:hAnsi="Times New Roman"/>
          <w:b w:val="1"/>
          <w:sz w:val="28"/>
        </w:rPr>
      </w:pPr>
    </w:p>
    <w:p w14:paraId="42020000">
      <w:pPr>
        <w:spacing w:after="0"/>
        <w:ind w:firstLine="709" w:left="0"/>
        <w:jc w:val="center"/>
        <w:rPr>
          <w:rFonts w:ascii="Times New Roman" w:hAnsi="Times New Roman"/>
          <w:b w:val="1"/>
          <w:sz w:val="28"/>
        </w:rPr>
      </w:pPr>
    </w:p>
    <w:p w14:paraId="43020000">
      <w:pPr>
        <w:spacing w:after="0"/>
        <w:ind w:firstLine="709" w:left="0"/>
        <w:jc w:val="center"/>
        <w:rPr>
          <w:rFonts w:ascii="Times New Roman" w:hAnsi="Times New Roman"/>
          <w:b w:val="1"/>
          <w:sz w:val="28"/>
        </w:rPr>
      </w:pPr>
    </w:p>
    <w:p w14:paraId="44020000">
      <w:pPr>
        <w:spacing w:after="0"/>
        <w:ind w:firstLine="709" w:left="0"/>
        <w:jc w:val="center"/>
        <w:rPr>
          <w:rFonts w:ascii="Times New Roman" w:hAnsi="Times New Roman"/>
          <w:b w:val="1"/>
          <w:sz w:val="28"/>
        </w:rPr>
      </w:pPr>
    </w:p>
    <w:p w14:paraId="45020000">
      <w:pPr>
        <w:spacing w:after="0"/>
        <w:ind w:firstLine="709" w:left="0"/>
        <w:jc w:val="center"/>
        <w:rPr>
          <w:rFonts w:ascii="Times New Roman" w:hAnsi="Times New Roman"/>
          <w:b w:val="1"/>
          <w:sz w:val="28"/>
        </w:rPr>
      </w:pPr>
    </w:p>
    <w:p w14:paraId="46020000">
      <w:pPr>
        <w:spacing w:after="0"/>
        <w:ind w:firstLine="709" w:left="0"/>
        <w:jc w:val="center"/>
        <w:rPr>
          <w:rFonts w:ascii="Times New Roman" w:hAnsi="Times New Roman"/>
          <w:b w:val="1"/>
          <w:sz w:val="28"/>
        </w:rPr>
      </w:pPr>
    </w:p>
    <w:p w14:paraId="47020000">
      <w:pPr>
        <w:spacing w:after="0"/>
        <w:ind w:firstLine="709" w:left="0"/>
        <w:jc w:val="center"/>
        <w:rPr>
          <w:rFonts w:ascii="Times New Roman" w:hAnsi="Times New Roman"/>
          <w:b w:val="1"/>
          <w:sz w:val="28"/>
        </w:rPr>
      </w:pPr>
    </w:p>
    <w:p w14:paraId="48020000">
      <w:pPr>
        <w:spacing w:after="0"/>
        <w:ind w:firstLine="709" w:left="0"/>
        <w:jc w:val="center"/>
        <w:rPr>
          <w:rFonts w:ascii="Times New Roman" w:hAnsi="Times New Roman"/>
          <w:b w:val="1"/>
          <w:sz w:val="28"/>
        </w:rPr>
      </w:pPr>
    </w:p>
    <w:p w14:paraId="49020000">
      <w:pPr>
        <w:spacing w:after="0"/>
        <w:ind w:firstLine="709" w:left="0"/>
        <w:jc w:val="center"/>
        <w:rPr>
          <w:rFonts w:ascii="Times New Roman" w:hAnsi="Times New Roman"/>
          <w:b w:val="1"/>
          <w:sz w:val="28"/>
        </w:rPr>
      </w:pPr>
    </w:p>
    <w:p w14:paraId="4A020000">
      <w:pPr>
        <w:spacing w:after="0"/>
        <w:ind w:firstLine="709" w:left="0"/>
        <w:jc w:val="center"/>
        <w:rPr>
          <w:rFonts w:ascii="Times New Roman" w:hAnsi="Times New Roman"/>
          <w:b w:val="1"/>
          <w:sz w:val="28"/>
        </w:rPr>
      </w:pPr>
    </w:p>
    <w:p w14:paraId="4B020000">
      <w:pPr>
        <w:spacing w:after="0"/>
        <w:ind w:firstLine="709" w:left="0"/>
        <w:jc w:val="center"/>
        <w:rPr>
          <w:rFonts w:ascii="Times New Roman" w:hAnsi="Times New Roman"/>
          <w:b w:val="1"/>
          <w:sz w:val="28"/>
        </w:rPr>
      </w:pPr>
    </w:p>
    <w:p w14:paraId="4C020000">
      <w:pPr>
        <w:spacing w:after="0"/>
        <w:ind w:firstLine="709" w:left="0"/>
        <w:jc w:val="center"/>
        <w:rPr>
          <w:rFonts w:ascii="Times New Roman" w:hAnsi="Times New Roman"/>
          <w:b w:val="1"/>
          <w:sz w:val="28"/>
        </w:rPr>
      </w:pPr>
    </w:p>
    <w:p w14:paraId="4D020000">
      <w:pPr>
        <w:spacing w:after="0"/>
        <w:ind w:firstLine="709" w:left="0"/>
        <w:jc w:val="center"/>
        <w:rPr>
          <w:rFonts w:ascii="Times New Roman" w:hAnsi="Times New Roman"/>
          <w:b w:val="1"/>
          <w:sz w:val="28"/>
        </w:rPr>
      </w:pPr>
    </w:p>
    <w:p w14:paraId="4E020000">
      <w:pPr>
        <w:spacing w:after="0"/>
        <w:ind w:firstLine="709" w:left="0"/>
        <w:jc w:val="center"/>
        <w:rPr>
          <w:rFonts w:ascii="Times New Roman" w:hAnsi="Times New Roman"/>
          <w:b w:val="1"/>
          <w:sz w:val="28"/>
        </w:rPr>
      </w:pPr>
    </w:p>
    <w:p w14:paraId="4F020000">
      <w:pPr>
        <w:spacing w:after="0"/>
        <w:ind w:firstLine="709" w:left="0"/>
        <w:jc w:val="center"/>
        <w:rPr>
          <w:rFonts w:ascii="Times New Roman" w:hAnsi="Times New Roman"/>
          <w:b w:val="1"/>
          <w:sz w:val="28"/>
        </w:rPr>
      </w:pPr>
    </w:p>
    <w:p w14:paraId="50020000">
      <w:pPr>
        <w:spacing w:after="0"/>
        <w:ind w:firstLine="709" w:left="0"/>
        <w:jc w:val="center"/>
        <w:rPr>
          <w:rFonts w:ascii="Times New Roman" w:hAnsi="Times New Roman"/>
          <w:b w:val="1"/>
          <w:sz w:val="28"/>
        </w:rPr>
      </w:pPr>
    </w:p>
    <w:p w14:paraId="51020000">
      <w:pPr>
        <w:spacing w:after="0"/>
        <w:ind w:firstLine="709" w:left="0"/>
        <w:jc w:val="center"/>
        <w:rPr>
          <w:rFonts w:ascii="Times New Roman" w:hAnsi="Times New Roman"/>
          <w:b w:val="1"/>
          <w:sz w:val="28"/>
        </w:rPr>
      </w:pPr>
    </w:p>
    <w:p w14:paraId="52020000">
      <w:pPr>
        <w:spacing w:after="0"/>
        <w:ind w:firstLine="709" w:left="0"/>
        <w:jc w:val="center"/>
        <w:rPr>
          <w:rFonts w:ascii="Times New Roman" w:hAnsi="Times New Roman"/>
          <w:b w:val="1"/>
          <w:sz w:val="28"/>
        </w:rPr>
      </w:pPr>
    </w:p>
    <w:p w14:paraId="53020000">
      <w:pPr>
        <w:spacing w:after="0"/>
        <w:ind w:firstLine="709" w:left="0"/>
        <w:jc w:val="center"/>
        <w:rPr>
          <w:rFonts w:ascii="Times New Roman" w:hAnsi="Times New Roman"/>
          <w:b w:val="1"/>
          <w:sz w:val="28"/>
        </w:rPr>
      </w:pPr>
    </w:p>
    <w:p w14:paraId="54020000">
      <w:pPr>
        <w:spacing w:after="0"/>
        <w:ind w:firstLine="709" w:left="0"/>
        <w:jc w:val="center"/>
        <w:rPr>
          <w:rFonts w:ascii="Times New Roman" w:hAnsi="Times New Roman"/>
          <w:b w:val="1"/>
          <w:sz w:val="28"/>
        </w:rPr>
      </w:pPr>
    </w:p>
    <w:p w14:paraId="55020000">
      <w:pPr>
        <w:spacing w:after="0"/>
        <w:ind w:firstLine="709" w:left="0"/>
        <w:jc w:val="center"/>
        <w:rPr>
          <w:rFonts w:ascii="Times New Roman" w:hAnsi="Times New Roman"/>
          <w:b w:val="1"/>
          <w:sz w:val="28"/>
        </w:rPr>
      </w:pPr>
      <w:r>
        <w:rPr>
          <w:rFonts w:ascii="Times New Roman" w:hAnsi="Times New Roman"/>
          <w:b w:val="1"/>
          <w:sz w:val="28"/>
        </w:rPr>
        <w:t xml:space="preserve">2. </w:t>
      </w:r>
      <w:r>
        <w:rPr>
          <w:rFonts w:ascii="Times New Roman" w:hAnsi="Times New Roman"/>
          <w:b w:val="1"/>
          <w:sz w:val="28"/>
        </w:rPr>
        <w:t>Мониторинг удовлетворенности потребителей качеством товаров, работ и услуг на товарных рынках города Волгодонска и состоянием ценовой конкуренции, включая мониторинг удовлетворенности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города Волгодонска и деятельности по содействию развитию конкуренции, размещаемой уполномоченным органом и муниципальными образованиями, оценки удовлетворенности потребителями товаров, работ и услуг деятельностью субъектов естественных монополий на территории города Волгодонска</w:t>
      </w:r>
    </w:p>
    <w:p w14:paraId="56020000">
      <w:pPr>
        <w:spacing w:after="0"/>
        <w:ind/>
        <w:rPr>
          <w:rFonts w:ascii="Times New Roman" w:hAnsi="Times New Roman"/>
          <w:sz w:val="12"/>
        </w:rPr>
      </w:pPr>
    </w:p>
    <w:p w14:paraId="57020000">
      <w:pPr>
        <w:spacing w:after="0"/>
        <w:ind w:firstLine="709" w:left="0"/>
        <w:jc w:val="both"/>
        <w:rPr>
          <w:rFonts w:ascii="Times New Roman" w:hAnsi="Times New Roman"/>
          <w:sz w:val="28"/>
        </w:rPr>
      </w:pPr>
      <w:r>
        <w:rPr>
          <w:rFonts w:ascii="Times New Roman" w:hAnsi="Times New Roman"/>
          <w:sz w:val="28"/>
        </w:rPr>
        <w:t>В 20</w:t>
      </w:r>
      <w:r>
        <w:rPr>
          <w:rFonts w:ascii="Times New Roman" w:hAnsi="Times New Roman"/>
          <w:sz w:val="28"/>
        </w:rPr>
        <w:t>21</w:t>
      </w:r>
      <w:r>
        <w:rPr>
          <w:rFonts w:ascii="Times New Roman" w:hAnsi="Times New Roman"/>
          <w:sz w:val="28"/>
        </w:rPr>
        <w:t xml:space="preserve"> году в рамках мониторинга удовлетворенности потребителей качеством товаров, работ и услуг на товарных рынках </w:t>
      </w:r>
      <w:r>
        <w:rPr>
          <w:rFonts w:ascii="Times New Roman" w:hAnsi="Times New Roman"/>
          <w:sz w:val="28"/>
        </w:rPr>
        <w:t>города Волгодонска</w:t>
      </w:r>
      <w:r>
        <w:rPr>
          <w:rFonts w:ascii="Times New Roman" w:hAnsi="Times New Roman"/>
          <w:sz w:val="28"/>
        </w:rPr>
        <w:t xml:space="preserve"> и состоянием ценовой конкуренции </w:t>
      </w:r>
      <w:r>
        <w:rPr>
          <w:rFonts w:ascii="Times New Roman" w:hAnsi="Times New Roman"/>
          <w:sz w:val="28"/>
        </w:rPr>
        <w:t xml:space="preserve">респондентам были представлены </w:t>
      </w:r>
      <w:r>
        <w:rPr>
          <w:rFonts w:ascii="Times New Roman" w:hAnsi="Times New Roman"/>
          <w:sz w:val="28"/>
        </w:rPr>
        <w:t xml:space="preserve">анкеты для потребителей товаров, работ и услуг на товарных рынках города. </w:t>
      </w:r>
    </w:p>
    <w:p w14:paraId="58020000">
      <w:pPr>
        <w:spacing w:after="0"/>
        <w:ind w:firstLine="709" w:left="0"/>
        <w:jc w:val="both"/>
        <w:rPr>
          <w:rFonts w:ascii="Times New Roman" w:hAnsi="Times New Roman"/>
          <w:sz w:val="28"/>
        </w:rPr>
      </w:pPr>
      <w:r>
        <w:rPr>
          <w:rFonts w:ascii="Times New Roman" w:hAnsi="Times New Roman"/>
          <w:sz w:val="28"/>
        </w:rPr>
        <w:t xml:space="preserve">В рамках социологической части мониторинга состояния и развития конкурентной среды в городе проведено анкетирование с общей выборкой </w:t>
      </w:r>
      <w:r>
        <w:rPr>
          <w:rFonts w:ascii="Times New Roman" w:hAnsi="Times New Roman"/>
          <w:sz w:val="28"/>
        </w:rPr>
        <w:t xml:space="preserve">в 367 </w:t>
      </w:r>
      <w:r>
        <w:rPr>
          <w:rFonts w:ascii="Times New Roman" w:hAnsi="Times New Roman"/>
          <w:sz w:val="28"/>
        </w:rPr>
        <w:t>респондентов.</w:t>
      </w:r>
    </w:p>
    <w:p w14:paraId="59020000">
      <w:pPr>
        <w:spacing w:after="0"/>
        <w:ind w:firstLine="709" w:left="0"/>
        <w:jc w:val="both"/>
        <w:rPr>
          <w:rFonts w:ascii="Times New Roman" w:hAnsi="Times New Roman"/>
          <w:sz w:val="28"/>
        </w:rPr>
      </w:pPr>
      <w:r>
        <w:rPr>
          <w:rFonts w:ascii="Times New Roman" w:hAnsi="Times New Roman"/>
          <w:sz w:val="28"/>
        </w:rPr>
        <w:t xml:space="preserve">В ходе опроса населения изучалось мнение относительно </w:t>
      </w:r>
      <w:r>
        <w:rPr>
          <w:rFonts w:ascii="Times New Roman" w:hAnsi="Times New Roman"/>
          <w:sz w:val="28"/>
        </w:rPr>
        <w:t>10</w:t>
      </w:r>
      <w:r>
        <w:rPr>
          <w:rFonts w:ascii="Times New Roman" w:hAnsi="Times New Roman"/>
          <w:sz w:val="28"/>
        </w:rPr>
        <w:t xml:space="preserve"> рынков товаров и услуг</w:t>
      </w:r>
      <w:r>
        <w:rPr>
          <w:rFonts w:ascii="Times New Roman" w:hAnsi="Times New Roman"/>
          <w:sz w:val="28"/>
        </w:rPr>
        <w:t>.</w:t>
      </w:r>
    </w:p>
    <w:p w14:paraId="5A020000">
      <w:pPr>
        <w:spacing w:after="0"/>
        <w:ind w:firstLine="709" w:left="0"/>
        <w:jc w:val="both"/>
        <w:rPr>
          <w:rFonts w:ascii="Times New Roman" w:hAnsi="Times New Roman"/>
          <w:b w:val="1"/>
          <w:sz w:val="28"/>
        </w:rPr>
      </w:pPr>
      <w:r>
        <w:rPr>
          <w:rFonts w:ascii="Times New Roman" w:hAnsi="Times New Roman"/>
          <w:sz w:val="28"/>
        </w:rPr>
        <w:t xml:space="preserve">Респонденты ответили на вопросы о количестве организаций, представляющих товары и услуги, и динамике их численности; уровне удовлетворенности качеством товаров и услуг на товарных рынках в </w:t>
      </w:r>
      <w:r>
        <w:rPr>
          <w:rFonts w:ascii="Times New Roman" w:hAnsi="Times New Roman"/>
          <w:sz w:val="28"/>
        </w:rPr>
        <w:t>г.Волгодонске</w:t>
      </w:r>
      <w:r>
        <w:rPr>
          <w:rFonts w:ascii="Times New Roman" w:hAnsi="Times New Roman"/>
          <w:sz w:val="28"/>
        </w:rPr>
        <w:t xml:space="preserve"> и состоянием ценовой конкуренции; уровне удовлетворенности качеством услуг субъектов естественных монополий и качестве официальной информации о состоянии конкурентной среды на рынках товаров и услуг.</w:t>
      </w:r>
    </w:p>
    <w:p w14:paraId="5B020000">
      <w:pPr>
        <w:spacing w:after="0"/>
        <w:ind/>
        <w:rPr>
          <w:rFonts w:ascii="Times New Roman" w:hAnsi="Times New Roman"/>
          <w:b w:val="1"/>
          <w:sz w:val="12"/>
        </w:rPr>
      </w:pPr>
    </w:p>
    <w:p w14:paraId="5C020000">
      <w:pPr>
        <w:spacing w:after="0"/>
        <w:ind/>
        <w:jc w:val="center"/>
        <w:rPr>
          <w:rFonts w:ascii="Times New Roman" w:hAnsi="Times New Roman"/>
          <w:b w:val="1"/>
          <w:sz w:val="28"/>
        </w:rPr>
      </w:pPr>
      <w:r>
        <w:rPr>
          <w:rFonts w:ascii="Times New Roman" w:hAnsi="Times New Roman"/>
          <w:b w:val="1"/>
          <w:sz w:val="28"/>
        </w:rPr>
        <w:t>Социально-демографические характеристики</w:t>
      </w:r>
    </w:p>
    <w:p w14:paraId="5D020000">
      <w:pPr>
        <w:spacing w:after="0"/>
        <w:ind w:firstLine="709" w:left="0"/>
        <w:jc w:val="both"/>
        <w:rPr>
          <w:rFonts w:ascii="Times New Roman" w:hAnsi="Times New Roman"/>
          <w:sz w:val="8"/>
        </w:rPr>
      </w:pPr>
    </w:p>
    <w:p w14:paraId="5E020000">
      <w:pPr>
        <w:spacing w:after="0" w:line="240" w:lineRule="auto"/>
        <w:ind w:firstLine="709" w:left="0"/>
        <w:jc w:val="both"/>
        <w:rPr>
          <w:rFonts w:ascii="Times New Roman" w:hAnsi="Times New Roman"/>
          <w:color w:val="000000"/>
          <w:sz w:val="28"/>
        </w:rPr>
      </w:pPr>
      <w:r>
        <w:rPr>
          <w:rFonts w:ascii="Times New Roman" w:hAnsi="Times New Roman"/>
          <w:sz w:val="28"/>
        </w:rPr>
        <w:t>С</w:t>
      </w:r>
      <w:r>
        <w:rPr>
          <w:rFonts w:ascii="Times New Roman" w:hAnsi="Times New Roman"/>
          <w:sz w:val="28"/>
        </w:rPr>
        <w:t xml:space="preserve">труктура </w:t>
      </w:r>
      <w:r>
        <w:rPr>
          <w:rFonts w:ascii="Times New Roman" w:hAnsi="Times New Roman"/>
          <w:sz w:val="28"/>
        </w:rPr>
        <w:t>респондентов</w:t>
      </w:r>
      <w:r>
        <w:rPr>
          <w:rFonts w:ascii="Times New Roman" w:hAnsi="Times New Roman"/>
          <w:sz w:val="28"/>
        </w:rPr>
        <w:t xml:space="preserve"> представлена на рисунке 2.1. Преобладающей частью респондентов были женщины (</w:t>
      </w:r>
      <w:r>
        <w:rPr>
          <w:rFonts w:ascii="Times New Roman" w:hAnsi="Times New Roman"/>
          <w:sz w:val="28"/>
        </w:rPr>
        <w:t>72</w:t>
      </w:r>
      <w:r>
        <w:rPr>
          <w:rFonts w:ascii="Times New Roman" w:hAnsi="Times New Roman"/>
          <w:sz w:val="28"/>
        </w:rPr>
        <w:t xml:space="preserve">% опрошенных), </w:t>
      </w:r>
      <w:r>
        <w:rPr>
          <w:rFonts w:ascii="Times New Roman" w:hAnsi="Times New Roman"/>
          <w:sz w:val="28"/>
        </w:rPr>
        <w:t>28</w:t>
      </w:r>
      <w:r>
        <w:rPr>
          <w:rFonts w:ascii="Times New Roman" w:hAnsi="Times New Roman"/>
          <w:sz w:val="28"/>
        </w:rPr>
        <w:t>% участник</w:t>
      </w:r>
      <w:r>
        <w:rPr>
          <w:rFonts w:ascii="Times New Roman" w:hAnsi="Times New Roman"/>
          <w:sz w:val="28"/>
        </w:rPr>
        <w:t>ов</w:t>
      </w:r>
      <w:r>
        <w:rPr>
          <w:rFonts w:ascii="Times New Roman" w:hAnsi="Times New Roman"/>
          <w:sz w:val="28"/>
        </w:rPr>
        <w:t xml:space="preserve"> опроса были мужчины. </w:t>
      </w:r>
      <w:r>
        <w:rPr>
          <w:rFonts w:ascii="Times New Roman" w:hAnsi="Times New Roman"/>
          <w:color w:val="000000"/>
          <w:sz w:val="28"/>
        </w:rPr>
        <w:t>В </w:t>
      </w:r>
      <w:r>
        <w:rPr>
          <w:rFonts w:ascii="Times New Roman" w:hAnsi="Times New Roman"/>
          <w:color w:val="000000"/>
          <w:sz w:val="28"/>
        </w:rPr>
        <w:t>2020</w:t>
      </w:r>
      <w:r>
        <w:rPr>
          <w:rFonts w:ascii="Times New Roman" w:hAnsi="Times New Roman"/>
          <w:color w:val="000000"/>
          <w:sz w:val="28"/>
        </w:rPr>
        <w:t xml:space="preserve"> году большую часть респондентов также составляли женщины.</w:t>
      </w:r>
    </w:p>
    <w:p w14:paraId="5F020000">
      <w:pPr>
        <w:spacing w:after="0"/>
        <w:ind w:firstLine="709" w:left="0"/>
        <w:jc w:val="both"/>
        <w:rPr>
          <w:rFonts w:ascii="Times New Roman" w:hAnsi="Times New Roman"/>
          <w:sz w:val="6"/>
        </w:rPr>
      </w:pPr>
    </w:p>
    <w:p w14:paraId="60020000">
      <w:pPr>
        <w:spacing w:after="0"/>
        <w:ind/>
        <w:jc w:val="center"/>
        <w:rPr>
          <w:rFonts w:ascii="Times New Roman" w:hAnsi="Times New Roman"/>
          <w:sz w:val="28"/>
        </w:rPr>
      </w:pPr>
      <w:r>
        <w:rPr>
          <w:rFonts w:ascii="Times New Roman" w:hAnsi="Times New Roman"/>
          <w:sz w:val="28"/>
        </w:rPr>
        <w:drawing>
          <wp:inline>
            <wp:extent cx="4590415" cy="2114423"/>
            <wp:docPr hidden="false" id="34" name="Picture 34"/>
            <a:graphic>
              <a:graphicData uri="http://schemas.openxmlformats.org/drawingml/2006/picture">
                <pic:pic>
                  <pic:nvPicPr>
                    <pic:cNvPr hidden="false" id="33" name="Picture 33"/>
                    <pic:cNvPicPr preferRelativeResize="true"/>
                  </pic:nvPicPr>
                  <pic:blipFill>
                    <a:blip r:embed="rId20"/>
                    <a:srcRect b="0" l="0" r="0" t="0"/>
                    <a:stretch/>
                  </pic:blipFill>
                  <pic:spPr>
                    <a:xfrm flipH="false" flipV="false" rot="0">
                      <a:ext cx="4590415" cy="2114423"/>
                    </a:xfrm>
                    <a:prstGeom prst="rect"/>
                  </pic:spPr>
                </pic:pic>
              </a:graphicData>
            </a:graphic>
          </wp:inline>
        </w:drawing>
      </w:r>
    </w:p>
    <w:p w14:paraId="61020000">
      <w:pPr>
        <w:spacing w:after="0"/>
        <w:ind/>
        <w:jc w:val="center"/>
        <w:rPr>
          <w:rFonts w:ascii="Times New Roman" w:hAnsi="Times New Roman"/>
          <w:sz w:val="20"/>
        </w:rPr>
      </w:pPr>
      <w:r>
        <w:rPr>
          <w:rFonts w:ascii="Times New Roman" w:hAnsi="Times New Roman"/>
          <w:sz w:val="20"/>
        </w:rPr>
        <w:t xml:space="preserve">Рисунок 2.1.Распределение </w:t>
      </w:r>
      <w:r>
        <w:rPr>
          <w:rFonts w:ascii="Times New Roman" w:hAnsi="Times New Roman"/>
          <w:sz w:val="20"/>
        </w:rPr>
        <w:t xml:space="preserve">респондентов </w:t>
      </w:r>
      <w:r>
        <w:rPr>
          <w:rFonts w:ascii="Times New Roman" w:hAnsi="Times New Roman"/>
          <w:sz w:val="20"/>
        </w:rPr>
        <w:t xml:space="preserve"> по полу, % к опрошенным</w:t>
      </w:r>
    </w:p>
    <w:p w14:paraId="62020000">
      <w:pPr>
        <w:spacing w:after="0"/>
        <w:ind w:firstLine="709" w:left="0"/>
        <w:jc w:val="both"/>
        <w:rPr>
          <w:rFonts w:ascii="Times New Roman" w:hAnsi="Times New Roman"/>
          <w:sz w:val="28"/>
        </w:rPr>
      </w:pPr>
      <w:r>
        <w:rPr>
          <w:rFonts w:ascii="Times New Roman" w:hAnsi="Times New Roman"/>
          <w:sz w:val="28"/>
        </w:rPr>
        <w:t>Возрастная структура опрошенных представлена на рисунке 2.2. Больше всего опрошено респондентов в возрасте от 36 до 50 лет (</w:t>
      </w:r>
      <w:r>
        <w:rPr>
          <w:rFonts w:ascii="Times New Roman" w:hAnsi="Times New Roman"/>
          <w:sz w:val="28"/>
        </w:rPr>
        <w:t>54</w:t>
      </w:r>
      <w:r>
        <w:rPr>
          <w:rFonts w:ascii="Times New Roman" w:hAnsi="Times New Roman"/>
          <w:sz w:val="28"/>
        </w:rPr>
        <w:t>%)</w:t>
      </w:r>
      <w:r>
        <w:rPr>
          <w:rFonts w:ascii="Times New Roman" w:hAnsi="Times New Roman"/>
          <w:sz w:val="28"/>
        </w:rPr>
        <w:t xml:space="preserve"> и</w:t>
      </w:r>
      <w:r>
        <w:rPr>
          <w:rFonts w:ascii="Times New Roman" w:hAnsi="Times New Roman"/>
          <w:sz w:val="28"/>
        </w:rPr>
        <w:t xml:space="preserve"> от 21 до 35 лет оказалось </w:t>
      </w:r>
      <w:r>
        <w:rPr>
          <w:rFonts w:ascii="Times New Roman" w:hAnsi="Times New Roman"/>
          <w:sz w:val="28"/>
        </w:rPr>
        <w:t>23</w:t>
      </w:r>
      <w:r>
        <w:rPr>
          <w:rFonts w:ascii="Times New Roman" w:hAnsi="Times New Roman"/>
          <w:sz w:val="28"/>
        </w:rPr>
        <w:t xml:space="preserve">%. Среди опрошенных потребителей товаров, работ и услуг лиц </w:t>
      </w:r>
      <w:r>
        <w:rPr>
          <w:rFonts w:ascii="Times New Roman" w:hAnsi="Times New Roman"/>
          <w:sz w:val="28"/>
        </w:rPr>
        <w:t xml:space="preserve">в возрасте </w:t>
      </w:r>
      <w:r>
        <w:rPr>
          <w:rFonts w:ascii="Times New Roman" w:hAnsi="Times New Roman"/>
          <w:sz w:val="28"/>
        </w:rPr>
        <w:t xml:space="preserve">свыше 51 года </w:t>
      </w:r>
      <w:r>
        <w:rPr>
          <w:rFonts w:ascii="Times New Roman" w:hAnsi="Times New Roman"/>
          <w:sz w:val="28"/>
        </w:rPr>
        <w:t xml:space="preserve">16% и </w:t>
      </w:r>
      <w:r>
        <w:rPr>
          <w:rFonts w:ascii="Times New Roman" w:hAnsi="Times New Roman"/>
          <w:sz w:val="28"/>
        </w:rPr>
        <w:t xml:space="preserve">до 20 лет – </w:t>
      </w:r>
      <w:r>
        <w:rPr>
          <w:rFonts w:ascii="Times New Roman" w:hAnsi="Times New Roman"/>
          <w:sz w:val="28"/>
        </w:rPr>
        <w:t>7</w:t>
      </w:r>
      <w:r>
        <w:rPr>
          <w:rFonts w:ascii="Times New Roman" w:hAnsi="Times New Roman"/>
          <w:sz w:val="28"/>
        </w:rPr>
        <w:t>%</w:t>
      </w:r>
      <w:r>
        <w:rPr>
          <w:rFonts w:ascii="Times New Roman" w:hAnsi="Times New Roman"/>
          <w:sz w:val="28"/>
        </w:rPr>
        <w:t>.</w:t>
      </w:r>
      <w:r>
        <w:rPr>
          <w:rFonts w:ascii="Times New Roman" w:hAnsi="Times New Roman"/>
          <w:sz w:val="28"/>
        </w:rPr>
        <w:t xml:space="preserve"> </w:t>
      </w:r>
      <w:r>
        <w:rPr>
          <w:rFonts w:ascii="Times New Roman" w:hAnsi="Times New Roman"/>
          <w:color w:val="000000"/>
          <w:sz w:val="28"/>
        </w:rPr>
        <w:t>В 2</w:t>
      </w:r>
      <w:r>
        <w:rPr>
          <w:rFonts w:ascii="Times New Roman" w:hAnsi="Times New Roman"/>
          <w:color w:val="000000"/>
          <w:sz w:val="28"/>
        </w:rPr>
        <w:t>0</w:t>
      </w:r>
      <w:r>
        <w:rPr>
          <w:rFonts w:ascii="Times New Roman" w:hAnsi="Times New Roman"/>
          <w:color w:val="000000"/>
          <w:sz w:val="28"/>
        </w:rPr>
        <w:t>20</w:t>
      </w:r>
      <w:r>
        <w:rPr>
          <w:rFonts w:ascii="Times New Roman" w:hAnsi="Times New Roman"/>
          <w:color w:val="000000"/>
          <w:sz w:val="28"/>
        </w:rPr>
        <w:t xml:space="preserve"> году </w:t>
      </w:r>
      <w:r>
        <w:rPr>
          <w:rFonts w:ascii="Times New Roman" w:hAnsi="Times New Roman"/>
          <w:color w:val="000000"/>
          <w:sz w:val="28"/>
        </w:rPr>
        <w:t xml:space="preserve">также </w:t>
      </w:r>
      <w:r>
        <w:rPr>
          <w:rFonts w:ascii="Times New Roman" w:hAnsi="Times New Roman"/>
          <w:color w:val="000000"/>
          <w:sz w:val="28"/>
        </w:rPr>
        <w:t>основную часть опрошенных составл</w:t>
      </w:r>
      <w:r>
        <w:rPr>
          <w:rFonts w:ascii="Times New Roman" w:hAnsi="Times New Roman"/>
          <w:color w:val="000000"/>
          <w:sz w:val="28"/>
        </w:rPr>
        <w:t>ял</w:t>
      </w:r>
      <w:r>
        <w:rPr>
          <w:rFonts w:ascii="Times New Roman" w:hAnsi="Times New Roman"/>
          <w:color w:val="000000"/>
          <w:sz w:val="28"/>
        </w:rPr>
        <w:t xml:space="preserve">и респонденты в возрасте от </w:t>
      </w:r>
      <w:r>
        <w:rPr>
          <w:rFonts w:ascii="Times New Roman" w:hAnsi="Times New Roman"/>
          <w:color w:val="000000"/>
          <w:sz w:val="28"/>
        </w:rPr>
        <w:t>36</w:t>
      </w:r>
      <w:r>
        <w:rPr>
          <w:rFonts w:ascii="Times New Roman" w:hAnsi="Times New Roman"/>
          <w:color w:val="000000"/>
          <w:sz w:val="28"/>
        </w:rPr>
        <w:t xml:space="preserve"> до </w:t>
      </w:r>
      <w:r>
        <w:rPr>
          <w:rFonts w:ascii="Times New Roman" w:hAnsi="Times New Roman"/>
          <w:color w:val="000000"/>
          <w:sz w:val="28"/>
        </w:rPr>
        <w:t>50</w:t>
      </w:r>
      <w:r>
        <w:rPr>
          <w:rFonts w:ascii="Times New Roman" w:hAnsi="Times New Roman"/>
          <w:color w:val="000000"/>
          <w:sz w:val="28"/>
        </w:rPr>
        <w:t xml:space="preserve"> лет</w:t>
      </w:r>
      <w:r>
        <w:rPr>
          <w:rFonts w:ascii="Times New Roman" w:hAnsi="Times New Roman"/>
          <w:color w:val="000000"/>
          <w:sz w:val="28"/>
        </w:rPr>
        <w:t>.</w:t>
      </w:r>
    </w:p>
    <w:p w14:paraId="63020000">
      <w:pPr>
        <w:spacing w:after="0"/>
        <w:ind/>
        <w:jc w:val="center"/>
        <w:rPr>
          <w:rFonts w:ascii="Times New Roman" w:hAnsi="Times New Roman"/>
          <w:sz w:val="28"/>
        </w:rPr>
      </w:pPr>
      <w:r>
        <w:rPr>
          <w:rFonts w:ascii="Times New Roman" w:hAnsi="Times New Roman"/>
          <w:sz w:val="28"/>
        </w:rPr>
        <w:drawing>
          <wp:inline>
            <wp:extent cx="5021961" cy="2752344"/>
            <wp:docPr hidden="false" id="36" name="Picture 36"/>
            <a:graphic>
              <a:graphicData uri="http://schemas.openxmlformats.org/drawingml/2006/picture">
                <pic:pic>
                  <pic:nvPicPr>
                    <pic:cNvPr hidden="false" id="35" name="Picture 35"/>
                    <pic:cNvPicPr preferRelativeResize="true"/>
                  </pic:nvPicPr>
                  <pic:blipFill>
                    <a:blip r:embed="rId21"/>
                    <a:srcRect b="0" l="0" r="0" t="0"/>
                    <a:stretch/>
                  </pic:blipFill>
                  <pic:spPr>
                    <a:xfrm flipH="false" flipV="false" rot="0">
                      <a:ext cx="5021961" cy="2752344"/>
                    </a:xfrm>
                    <a:prstGeom prst="rect"/>
                  </pic:spPr>
                </pic:pic>
              </a:graphicData>
            </a:graphic>
          </wp:inline>
        </w:drawing>
      </w:r>
    </w:p>
    <w:p w14:paraId="64020000">
      <w:pPr>
        <w:spacing w:after="0"/>
        <w:ind/>
        <w:jc w:val="center"/>
        <w:rPr>
          <w:rFonts w:ascii="Times New Roman" w:hAnsi="Times New Roman"/>
          <w:sz w:val="20"/>
        </w:rPr>
      </w:pPr>
      <w:r>
        <w:rPr>
          <w:rFonts w:ascii="Times New Roman" w:hAnsi="Times New Roman"/>
          <w:sz w:val="20"/>
        </w:rPr>
        <w:t>Рисунок 2.2. Распределение потребителей по возрасту, % к опрошенным</w:t>
      </w:r>
    </w:p>
    <w:p w14:paraId="65020000">
      <w:pPr>
        <w:spacing w:after="0"/>
        <w:ind w:firstLine="709" w:left="0"/>
        <w:jc w:val="both"/>
        <w:rPr>
          <w:rFonts w:ascii="Times New Roman" w:hAnsi="Times New Roman"/>
          <w:sz w:val="28"/>
        </w:rPr>
      </w:pPr>
    </w:p>
    <w:p w14:paraId="66020000">
      <w:pPr>
        <w:spacing w:after="0"/>
        <w:ind w:firstLine="709" w:left="0"/>
        <w:jc w:val="both"/>
        <w:rPr>
          <w:rFonts w:ascii="Times New Roman" w:hAnsi="Times New Roman"/>
          <w:sz w:val="28"/>
        </w:rPr>
      </w:pPr>
      <w:r>
        <w:rPr>
          <w:rFonts w:ascii="Times New Roman" w:hAnsi="Times New Roman"/>
          <w:sz w:val="28"/>
        </w:rPr>
        <w:t xml:space="preserve">В структуре </w:t>
      </w:r>
      <w:r>
        <w:rPr>
          <w:rFonts w:ascii="Times New Roman" w:hAnsi="Times New Roman"/>
          <w:sz w:val="28"/>
        </w:rPr>
        <w:t>респондентов</w:t>
      </w:r>
      <w:r>
        <w:rPr>
          <w:rFonts w:ascii="Times New Roman" w:hAnsi="Times New Roman"/>
          <w:sz w:val="28"/>
        </w:rPr>
        <w:t>, характеризующей социальный статус, преобладает работающее население</w:t>
      </w:r>
      <w:r>
        <w:rPr>
          <w:rFonts w:ascii="Times New Roman" w:hAnsi="Times New Roman"/>
          <w:sz w:val="28"/>
        </w:rPr>
        <w:t xml:space="preserve"> </w:t>
      </w:r>
      <w:r>
        <w:rPr>
          <w:rFonts w:ascii="Times New Roman" w:hAnsi="Times New Roman"/>
          <w:sz w:val="28"/>
        </w:rPr>
        <w:t>58</w:t>
      </w:r>
      <w:r>
        <w:rPr>
          <w:rFonts w:ascii="Times New Roman" w:hAnsi="Times New Roman"/>
          <w:sz w:val="28"/>
        </w:rPr>
        <w:t xml:space="preserve">%. </w:t>
      </w:r>
      <w:r>
        <w:rPr>
          <w:rFonts w:ascii="Times New Roman" w:hAnsi="Times New Roman"/>
          <w:color w:val="000000"/>
          <w:sz w:val="28"/>
        </w:rPr>
        <w:t>В 2020 году</w:t>
      </w:r>
      <w:r>
        <w:rPr>
          <w:rFonts w:ascii="Times New Roman" w:hAnsi="Times New Roman"/>
          <w:color w:val="000000"/>
          <w:sz w:val="28"/>
        </w:rPr>
        <w:t xml:space="preserve"> в опросе также принимали участие преимущественно работающие</w:t>
      </w:r>
      <w:r>
        <w:rPr>
          <w:rFonts w:ascii="Times New Roman" w:hAnsi="Times New Roman"/>
          <w:color w:val="000000"/>
          <w:sz w:val="28"/>
        </w:rPr>
        <w:t xml:space="preserve"> респонденты</w:t>
      </w: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sz w:val="28"/>
        </w:rPr>
        <w:t xml:space="preserve">В ходе исследования были опрошены также пенсионеры </w:t>
      </w:r>
      <w:r>
        <w:rPr>
          <w:rFonts w:ascii="Times New Roman" w:hAnsi="Times New Roman"/>
          <w:sz w:val="28"/>
        </w:rPr>
        <w:t xml:space="preserve">22%, </w:t>
      </w:r>
      <w:r>
        <w:rPr>
          <w:rFonts w:ascii="Times New Roman" w:hAnsi="Times New Roman"/>
          <w:sz w:val="28"/>
        </w:rPr>
        <w:t xml:space="preserve">студенты </w:t>
      </w:r>
      <w:r>
        <w:rPr>
          <w:rFonts w:ascii="Times New Roman" w:hAnsi="Times New Roman"/>
          <w:sz w:val="28"/>
        </w:rPr>
        <w:t>/ учащиеся 20%</w:t>
      </w:r>
      <w:r>
        <w:rPr>
          <w:rFonts w:ascii="Times New Roman" w:hAnsi="Times New Roman"/>
          <w:sz w:val="28"/>
        </w:rPr>
        <w:t xml:space="preserve">, не работающие </w:t>
      </w:r>
      <w:r>
        <w:rPr>
          <w:rFonts w:ascii="Times New Roman" w:hAnsi="Times New Roman"/>
          <w:sz w:val="28"/>
        </w:rPr>
        <w:t>в опросе участия не принимали (рисунок 2.3)</w:t>
      </w:r>
      <w:r>
        <w:rPr>
          <w:rFonts w:ascii="Times New Roman" w:hAnsi="Times New Roman"/>
          <w:sz w:val="28"/>
        </w:rPr>
        <w:t xml:space="preserve"> </w:t>
      </w:r>
    </w:p>
    <w:p w14:paraId="67020000">
      <w:pPr>
        <w:tabs>
          <w:tab w:leader="none" w:pos="3261" w:val="left"/>
        </w:tabs>
        <w:spacing w:after="0"/>
        <w:ind/>
        <w:jc w:val="center"/>
        <w:rPr>
          <w:rFonts w:ascii="Times New Roman" w:hAnsi="Times New Roman"/>
          <w:sz w:val="28"/>
        </w:rPr>
      </w:pPr>
      <w:r>
        <w:rPr>
          <w:rFonts w:ascii="Times New Roman" w:hAnsi="Times New Roman"/>
          <w:sz w:val="28"/>
        </w:rPr>
        <w:drawing>
          <wp:inline>
            <wp:extent cx="4590415" cy="2749550"/>
            <wp:docPr hidden="false" id="38" name="Picture 38"/>
            <a:graphic>
              <a:graphicData uri="http://schemas.openxmlformats.org/drawingml/2006/picture">
                <pic:pic>
                  <pic:nvPicPr>
                    <pic:cNvPr hidden="false" id="37" name="Picture 37"/>
                    <pic:cNvPicPr preferRelativeResize="true"/>
                  </pic:nvPicPr>
                  <pic:blipFill>
                    <a:blip r:embed="rId22"/>
                    <a:srcRect b="0" l="0" r="0" t="0"/>
                    <a:stretch/>
                  </pic:blipFill>
                  <pic:spPr>
                    <a:xfrm flipH="false" flipV="false" rot="0">
                      <a:ext cx="4590415" cy="2749550"/>
                    </a:xfrm>
                    <a:prstGeom prst="rect"/>
                  </pic:spPr>
                </pic:pic>
              </a:graphicData>
            </a:graphic>
          </wp:inline>
        </w:drawing>
      </w:r>
    </w:p>
    <w:p w14:paraId="68020000">
      <w:pPr>
        <w:spacing w:after="0"/>
        <w:ind/>
        <w:jc w:val="center"/>
        <w:rPr>
          <w:rFonts w:ascii="Times New Roman" w:hAnsi="Times New Roman"/>
          <w:sz w:val="20"/>
        </w:rPr>
      </w:pPr>
      <w:r>
        <w:rPr>
          <w:rFonts w:ascii="Times New Roman" w:hAnsi="Times New Roman"/>
          <w:sz w:val="20"/>
        </w:rPr>
        <w:t xml:space="preserve">Рисунок 2.3.Структура </w:t>
      </w:r>
      <w:r>
        <w:rPr>
          <w:rFonts w:ascii="Times New Roman" w:hAnsi="Times New Roman"/>
          <w:sz w:val="20"/>
        </w:rPr>
        <w:t>респондентов</w:t>
      </w:r>
      <w:r>
        <w:rPr>
          <w:rFonts w:ascii="Times New Roman" w:hAnsi="Times New Roman"/>
          <w:sz w:val="20"/>
        </w:rPr>
        <w:t xml:space="preserve"> по роду деятельности, % к опрошенным</w:t>
      </w:r>
    </w:p>
    <w:p w14:paraId="69020000">
      <w:pPr>
        <w:spacing w:after="0"/>
        <w:ind w:firstLine="709" w:left="0"/>
        <w:jc w:val="both"/>
        <w:rPr>
          <w:rFonts w:ascii="Times New Roman" w:hAnsi="Times New Roman"/>
          <w:sz w:val="28"/>
        </w:rPr>
      </w:pPr>
    </w:p>
    <w:p w14:paraId="6A020000">
      <w:pPr>
        <w:spacing w:after="0" w:line="240" w:lineRule="auto"/>
        <w:ind w:firstLine="709" w:left="0"/>
        <w:jc w:val="both"/>
        <w:rPr>
          <w:rFonts w:ascii="Times New Roman" w:hAnsi="Times New Roman"/>
          <w:color w:val="000000"/>
          <w:sz w:val="28"/>
        </w:rPr>
      </w:pPr>
      <w:r>
        <w:rPr>
          <w:rFonts w:ascii="Times New Roman" w:hAnsi="Times New Roman"/>
          <w:sz w:val="28"/>
        </w:rPr>
        <w:t xml:space="preserve">Из общего количества опрошенных у </w:t>
      </w:r>
      <w:r>
        <w:rPr>
          <w:rFonts w:ascii="Times New Roman" w:hAnsi="Times New Roman"/>
          <w:sz w:val="28"/>
        </w:rPr>
        <w:t>63</w:t>
      </w:r>
      <w:r>
        <w:rPr>
          <w:rFonts w:ascii="Times New Roman" w:hAnsi="Times New Roman"/>
          <w:sz w:val="28"/>
        </w:rPr>
        <w:t xml:space="preserve">% есть дети возрастом до 18 лет, а у </w:t>
      </w:r>
      <w:r>
        <w:rPr>
          <w:rFonts w:ascii="Times New Roman" w:hAnsi="Times New Roman"/>
          <w:sz w:val="28"/>
        </w:rPr>
        <w:t>37</w:t>
      </w:r>
      <w:r>
        <w:rPr>
          <w:rFonts w:ascii="Times New Roman" w:hAnsi="Times New Roman"/>
          <w:sz w:val="28"/>
        </w:rPr>
        <w:t xml:space="preserve">% детей в этом возрасте – нет (рисунок 2.4). </w:t>
      </w:r>
      <w:r>
        <w:rPr>
          <w:rFonts w:ascii="Times New Roman" w:hAnsi="Times New Roman"/>
          <w:color w:val="000000"/>
          <w:sz w:val="28"/>
        </w:rPr>
        <w:t>В 20</w:t>
      </w:r>
      <w:r>
        <w:rPr>
          <w:rFonts w:ascii="Times New Roman" w:hAnsi="Times New Roman"/>
          <w:color w:val="000000"/>
          <w:sz w:val="28"/>
        </w:rPr>
        <w:t>20</w:t>
      </w:r>
      <w:r>
        <w:rPr>
          <w:rFonts w:ascii="Times New Roman" w:hAnsi="Times New Roman"/>
          <w:color w:val="000000"/>
          <w:sz w:val="28"/>
        </w:rPr>
        <w:t xml:space="preserve"> году также бо</w:t>
      </w:r>
      <w:r>
        <w:rPr>
          <w:rFonts w:ascii="Times New Roman" w:hAnsi="Times New Roman"/>
          <w:color w:val="000000"/>
          <w:sz w:val="28"/>
        </w:rPr>
        <w:t>льшую часть участников опроса (60</w:t>
      </w:r>
      <w:r>
        <w:rPr>
          <w:rFonts w:ascii="Times New Roman" w:hAnsi="Times New Roman"/>
          <w:color w:val="000000"/>
          <w:sz w:val="28"/>
        </w:rPr>
        <w:t>%) составили респонденты, имеющие детей в возрасте до 18 лет.</w:t>
      </w:r>
    </w:p>
    <w:p w14:paraId="6B020000">
      <w:pPr>
        <w:spacing w:after="0"/>
        <w:ind w:firstLine="709" w:left="0"/>
        <w:jc w:val="both"/>
        <w:rPr>
          <w:rFonts w:ascii="Times New Roman" w:hAnsi="Times New Roman"/>
          <w:sz w:val="28"/>
        </w:rPr>
      </w:pPr>
    </w:p>
    <w:p w14:paraId="6C020000">
      <w:pPr>
        <w:spacing w:after="0"/>
        <w:ind/>
        <w:jc w:val="center"/>
        <w:rPr>
          <w:rFonts w:ascii="Times New Roman" w:hAnsi="Times New Roman"/>
          <w:sz w:val="28"/>
        </w:rPr>
      </w:pPr>
      <w:r>
        <w:rPr>
          <w:rFonts w:ascii="Times New Roman" w:hAnsi="Times New Roman"/>
          <w:sz w:val="28"/>
        </w:rPr>
        <w:drawing>
          <wp:inline>
            <wp:extent cx="4916297" cy="2914523"/>
            <wp:docPr hidden="false" id="40" name="Picture 40"/>
            <a:graphic>
              <a:graphicData uri="http://schemas.openxmlformats.org/drawingml/2006/picture">
                <pic:pic>
                  <pic:nvPicPr>
                    <pic:cNvPr hidden="false" id="39" name="Picture 39"/>
                    <pic:cNvPicPr preferRelativeResize="true"/>
                  </pic:nvPicPr>
                  <pic:blipFill>
                    <a:blip r:embed="rId23"/>
                    <a:srcRect b="0" l="0" r="0" t="0"/>
                    <a:stretch/>
                  </pic:blipFill>
                  <pic:spPr>
                    <a:xfrm flipH="false" flipV="false" rot="0">
                      <a:ext cx="4916297" cy="2914523"/>
                    </a:xfrm>
                    <a:prstGeom prst="rect"/>
                  </pic:spPr>
                </pic:pic>
              </a:graphicData>
            </a:graphic>
          </wp:inline>
        </w:drawing>
      </w:r>
    </w:p>
    <w:p w14:paraId="6D020000">
      <w:pPr>
        <w:spacing w:after="0"/>
        <w:ind w:firstLine="709" w:left="0"/>
        <w:jc w:val="center"/>
        <w:rPr>
          <w:rFonts w:ascii="Times New Roman" w:hAnsi="Times New Roman"/>
          <w:sz w:val="20"/>
        </w:rPr>
      </w:pPr>
      <w:r>
        <w:rPr>
          <w:rFonts w:ascii="Times New Roman" w:hAnsi="Times New Roman"/>
          <w:sz w:val="20"/>
        </w:rPr>
        <w:t xml:space="preserve">Рисунок 2.4. </w:t>
      </w:r>
      <w:r>
        <w:rPr>
          <w:rFonts w:ascii="Times New Roman" w:hAnsi="Times New Roman"/>
          <w:sz w:val="20"/>
        </w:rPr>
        <w:t xml:space="preserve">Наличие детей </w:t>
      </w:r>
      <w:r>
        <w:rPr>
          <w:rFonts w:ascii="Times New Roman" w:hAnsi="Times New Roman"/>
          <w:sz w:val="20"/>
        </w:rPr>
        <w:t>у респондентов до 18 лет</w:t>
      </w:r>
      <w:r>
        <w:rPr>
          <w:rFonts w:ascii="Times New Roman" w:hAnsi="Times New Roman"/>
          <w:sz w:val="20"/>
        </w:rPr>
        <w:t>, % к опрошенным</w:t>
      </w:r>
    </w:p>
    <w:p w14:paraId="6E020000">
      <w:pPr>
        <w:spacing w:after="0"/>
        <w:ind w:firstLine="709" w:left="0"/>
        <w:jc w:val="center"/>
        <w:rPr>
          <w:rFonts w:ascii="Times New Roman" w:hAnsi="Times New Roman"/>
          <w:sz w:val="28"/>
        </w:rPr>
      </w:pPr>
    </w:p>
    <w:p w14:paraId="6F020000">
      <w:pPr>
        <w:spacing w:after="0"/>
        <w:ind w:firstLine="709" w:left="0"/>
        <w:jc w:val="both"/>
        <w:rPr>
          <w:rFonts w:ascii="Times New Roman" w:hAnsi="Times New Roman"/>
          <w:sz w:val="28"/>
        </w:rPr>
      </w:pPr>
      <w:r>
        <w:rPr>
          <w:rFonts w:ascii="Times New Roman" w:hAnsi="Times New Roman"/>
          <w:sz w:val="28"/>
        </w:rPr>
        <w:t xml:space="preserve">На рисунке 2.5. представлена образовательная структура потребителей товаров и услуг города </w:t>
      </w:r>
      <w:r>
        <w:rPr>
          <w:rFonts w:ascii="Times New Roman" w:hAnsi="Times New Roman"/>
          <w:sz w:val="28"/>
        </w:rPr>
        <w:t>Волгодонска</w:t>
      </w:r>
      <w:r>
        <w:rPr>
          <w:rFonts w:ascii="Times New Roman" w:hAnsi="Times New Roman"/>
          <w:sz w:val="28"/>
        </w:rPr>
        <w:t>.</w:t>
      </w:r>
    </w:p>
    <w:p w14:paraId="70020000">
      <w:pPr>
        <w:spacing w:after="0"/>
        <w:ind w:firstLine="709" w:left="0"/>
        <w:jc w:val="both"/>
        <w:rPr>
          <w:rFonts w:ascii="Times New Roman" w:hAnsi="Times New Roman"/>
          <w:sz w:val="28"/>
        </w:rPr>
      </w:pPr>
      <w:r>
        <w:rPr>
          <w:rFonts w:ascii="Times New Roman" w:hAnsi="Times New Roman"/>
          <w:sz w:val="28"/>
        </w:rPr>
        <w:t>Большинство респондентов (</w:t>
      </w:r>
      <w:r>
        <w:rPr>
          <w:rFonts w:ascii="Times New Roman" w:hAnsi="Times New Roman"/>
          <w:sz w:val="28"/>
        </w:rPr>
        <w:t>55</w:t>
      </w:r>
      <w:r>
        <w:rPr>
          <w:rFonts w:ascii="Times New Roman" w:hAnsi="Times New Roman"/>
          <w:sz w:val="28"/>
        </w:rPr>
        <w:t xml:space="preserve">%) имеют </w:t>
      </w:r>
      <w:r>
        <w:rPr>
          <w:rFonts w:ascii="Times New Roman" w:hAnsi="Times New Roman"/>
          <w:sz w:val="28"/>
        </w:rPr>
        <w:t>высшее</w:t>
      </w:r>
      <w:r>
        <w:rPr>
          <w:rFonts w:ascii="Times New Roman" w:hAnsi="Times New Roman"/>
          <w:sz w:val="28"/>
        </w:rPr>
        <w:t xml:space="preserve"> образование. </w:t>
      </w:r>
      <w:r>
        <w:rPr>
          <w:rFonts w:ascii="Times New Roman" w:hAnsi="Times New Roman"/>
          <w:sz w:val="28"/>
        </w:rPr>
        <w:t>17% респондентов имеют</w:t>
      </w:r>
      <w:r>
        <w:rPr>
          <w:rFonts w:ascii="Times New Roman" w:hAnsi="Times New Roman"/>
          <w:sz w:val="28"/>
        </w:rPr>
        <w:t xml:space="preserve"> </w:t>
      </w:r>
      <w:r>
        <w:rPr>
          <w:rFonts w:ascii="Times New Roman" w:hAnsi="Times New Roman"/>
          <w:sz w:val="28"/>
        </w:rPr>
        <w:t>среднее специальное</w:t>
      </w:r>
      <w:r>
        <w:rPr>
          <w:rFonts w:ascii="Times New Roman" w:hAnsi="Times New Roman"/>
          <w:sz w:val="28"/>
        </w:rPr>
        <w:t xml:space="preserve"> образование</w:t>
      </w:r>
      <w:r>
        <w:rPr>
          <w:rFonts w:ascii="Times New Roman" w:hAnsi="Times New Roman"/>
          <w:sz w:val="28"/>
        </w:rPr>
        <w:t xml:space="preserve"> и 28</w:t>
      </w:r>
      <w:r>
        <w:rPr>
          <w:rFonts w:ascii="Times New Roman" w:hAnsi="Times New Roman"/>
          <w:sz w:val="28"/>
        </w:rPr>
        <w:t xml:space="preserve">% опрощенных </w:t>
      </w:r>
      <w:r>
        <w:rPr>
          <w:rFonts w:ascii="Times New Roman" w:hAnsi="Times New Roman"/>
          <w:sz w:val="28"/>
        </w:rPr>
        <w:t>являются студентами высших учебных заведений</w:t>
      </w:r>
      <w:r>
        <w:rPr>
          <w:rFonts w:ascii="Times New Roman" w:hAnsi="Times New Roman"/>
          <w:sz w:val="28"/>
        </w:rPr>
        <w:t>.</w:t>
      </w:r>
      <w:r>
        <w:rPr>
          <w:rFonts w:ascii="Times New Roman" w:hAnsi="Times New Roman"/>
          <w:sz w:val="28"/>
        </w:rPr>
        <w:t xml:space="preserve"> В 2020 году</w:t>
      </w:r>
      <w:r>
        <w:rPr>
          <w:rFonts w:ascii="Times New Roman" w:hAnsi="Times New Roman"/>
          <w:color w:val="000000"/>
          <w:sz w:val="28"/>
        </w:rPr>
        <w:t xml:space="preserve"> большинство респондентов</w:t>
      </w:r>
      <w:r>
        <w:rPr>
          <w:rFonts w:ascii="Times New Roman" w:hAnsi="Times New Roman"/>
          <w:color w:val="FF0000"/>
          <w:sz w:val="28"/>
        </w:rPr>
        <w:t xml:space="preserve"> </w:t>
      </w:r>
      <w:r>
        <w:rPr>
          <w:rFonts w:ascii="Times New Roman" w:hAnsi="Times New Roman"/>
          <w:sz w:val="28"/>
        </w:rPr>
        <w:t>(</w:t>
      </w:r>
      <w:r>
        <w:rPr>
          <w:rFonts w:ascii="Times New Roman" w:hAnsi="Times New Roman"/>
          <w:sz w:val="28"/>
        </w:rPr>
        <w:t>58</w:t>
      </w:r>
      <w:r>
        <w:rPr>
          <w:rFonts w:ascii="Times New Roman" w:hAnsi="Times New Roman"/>
          <w:sz w:val="28"/>
        </w:rPr>
        <w:t>%) име</w:t>
      </w:r>
      <w:r>
        <w:rPr>
          <w:rFonts w:ascii="Times New Roman" w:hAnsi="Times New Roman"/>
          <w:sz w:val="28"/>
        </w:rPr>
        <w:t>ли</w:t>
      </w:r>
      <w:r>
        <w:rPr>
          <w:rFonts w:ascii="Times New Roman" w:hAnsi="Times New Roman"/>
          <w:sz w:val="28"/>
        </w:rPr>
        <w:t xml:space="preserve"> высшее образование.</w:t>
      </w:r>
    </w:p>
    <w:p w14:paraId="71020000">
      <w:pPr>
        <w:spacing w:after="0"/>
        <w:ind w:firstLine="709" w:left="0"/>
        <w:jc w:val="both"/>
        <w:rPr>
          <w:rFonts w:ascii="Times New Roman" w:hAnsi="Times New Roman"/>
          <w:sz w:val="28"/>
        </w:rPr>
      </w:pPr>
    </w:p>
    <w:p w14:paraId="72020000">
      <w:pPr>
        <w:spacing w:after="0"/>
        <w:ind/>
        <w:jc w:val="center"/>
        <w:rPr>
          <w:rFonts w:ascii="Times New Roman" w:hAnsi="Times New Roman"/>
          <w:sz w:val="28"/>
        </w:rPr>
      </w:pPr>
      <w:r>
        <w:rPr>
          <w:rFonts w:ascii="Times New Roman" w:hAnsi="Times New Roman"/>
          <w:sz w:val="28"/>
        </w:rPr>
        <w:drawing>
          <wp:inline>
            <wp:extent cx="4590415" cy="2749550"/>
            <wp:docPr hidden="false" id="42" name="Picture 42"/>
            <a:graphic>
              <a:graphicData uri="http://schemas.openxmlformats.org/drawingml/2006/picture">
                <pic:pic>
                  <pic:nvPicPr>
                    <pic:cNvPr hidden="false" id="41" name="Picture 41"/>
                    <pic:cNvPicPr preferRelativeResize="true"/>
                  </pic:nvPicPr>
                  <pic:blipFill>
                    <a:blip r:embed="rId24"/>
                    <a:srcRect b="0" l="0" r="0" t="0"/>
                    <a:stretch/>
                  </pic:blipFill>
                  <pic:spPr>
                    <a:xfrm flipH="false" flipV="false" rot="0">
                      <a:ext cx="4590415" cy="2749550"/>
                    </a:xfrm>
                    <a:prstGeom prst="rect"/>
                  </pic:spPr>
                </pic:pic>
              </a:graphicData>
            </a:graphic>
          </wp:inline>
        </w:drawing>
      </w:r>
    </w:p>
    <w:p w14:paraId="73020000">
      <w:pPr>
        <w:spacing w:after="0"/>
        <w:ind/>
        <w:jc w:val="center"/>
        <w:rPr>
          <w:rFonts w:ascii="Times New Roman" w:hAnsi="Times New Roman"/>
          <w:sz w:val="20"/>
        </w:rPr>
      </w:pPr>
      <w:r>
        <w:rPr>
          <w:rFonts w:ascii="Times New Roman" w:hAnsi="Times New Roman"/>
          <w:sz w:val="20"/>
        </w:rPr>
        <w:t>Рисунок</w:t>
      </w:r>
      <w:r>
        <w:rPr>
          <w:rFonts w:ascii="Times New Roman" w:hAnsi="Times New Roman"/>
          <w:color w:val="FF0000"/>
          <w:sz w:val="20"/>
        </w:rPr>
        <w:t xml:space="preserve"> </w:t>
      </w:r>
      <w:r>
        <w:rPr>
          <w:rFonts w:ascii="Times New Roman" w:hAnsi="Times New Roman"/>
          <w:sz w:val="20"/>
        </w:rPr>
        <w:t>2.5.</w:t>
      </w:r>
      <w:r>
        <w:rPr>
          <w:rFonts w:ascii="Times New Roman" w:hAnsi="Times New Roman"/>
          <w:sz w:val="20"/>
        </w:rPr>
        <w:t xml:space="preserve"> </w:t>
      </w:r>
      <w:r>
        <w:rPr>
          <w:rFonts w:ascii="Times New Roman" w:hAnsi="Times New Roman"/>
          <w:sz w:val="20"/>
        </w:rPr>
        <w:t>Распределение потребителей по имеющемуся образованию, % к опрошенным</w:t>
      </w:r>
    </w:p>
    <w:p w14:paraId="74020000">
      <w:pPr>
        <w:spacing w:after="0"/>
        <w:ind w:firstLine="709" w:left="0"/>
        <w:jc w:val="both"/>
        <w:rPr>
          <w:rFonts w:ascii="Times New Roman" w:hAnsi="Times New Roman"/>
          <w:sz w:val="28"/>
        </w:rPr>
      </w:pPr>
    </w:p>
    <w:p w14:paraId="75020000">
      <w:pPr>
        <w:spacing w:after="0" w:line="240" w:lineRule="auto"/>
        <w:ind w:firstLine="709" w:left="0"/>
        <w:jc w:val="both"/>
        <w:rPr>
          <w:color w:val="000000"/>
        </w:rPr>
      </w:pPr>
      <w:r>
        <w:rPr>
          <w:rFonts w:ascii="Times New Roman" w:hAnsi="Times New Roman"/>
          <w:sz w:val="28"/>
        </w:rPr>
        <w:t xml:space="preserve">На рисунке 2.6. представлена доходная структура потребителей города </w:t>
      </w:r>
      <w:r>
        <w:rPr>
          <w:rFonts w:ascii="Times New Roman" w:hAnsi="Times New Roman"/>
          <w:sz w:val="28"/>
        </w:rPr>
        <w:t>Волгодонска</w:t>
      </w:r>
      <w:r>
        <w:rPr>
          <w:rFonts w:ascii="Times New Roman" w:hAnsi="Times New Roman"/>
          <w:sz w:val="28"/>
        </w:rPr>
        <w:t xml:space="preserve">. </w:t>
      </w:r>
      <w:r>
        <w:rPr>
          <w:rFonts w:ascii="Times New Roman" w:hAnsi="Times New Roman"/>
          <w:sz w:val="28"/>
        </w:rPr>
        <w:t>47%</w:t>
      </w:r>
      <w:r>
        <w:rPr>
          <w:rFonts w:ascii="Times New Roman" w:hAnsi="Times New Roman"/>
          <w:sz w:val="28"/>
        </w:rPr>
        <w:t xml:space="preserve"> опрошенн</w:t>
      </w:r>
      <w:r>
        <w:rPr>
          <w:rFonts w:ascii="Times New Roman" w:hAnsi="Times New Roman"/>
          <w:sz w:val="28"/>
        </w:rPr>
        <w:t>ых</w:t>
      </w:r>
      <w:r>
        <w:rPr>
          <w:rFonts w:ascii="Times New Roman" w:hAnsi="Times New Roman"/>
          <w:sz w:val="28"/>
        </w:rPr>
        <w:t xml:space="preserve"> </w:t>
      </w:r>
      <w:r>
        <w:rPr>
          <w:rFonts w:ascii="Times New Roman" w:hAnsi="Times New Roman"/>
          <w:sz w:val="28"/>
        </w:rPr>
        <w:t>указали</w:t>
      </w:r>
      <w:r>
        <w:rPr>
          <w:rFonts w:ascii="Times New Roman" w:hAnsi="Times New Roman"/>
          <w:sz w:val="28"/>
        </w:rPr>
        <w:t>, что ежемесячный доход на члена семьи в средн</w:t>
      </w:r>
      <w:r>
        <w:rPr>
          <w:rFonts w:ascii="Times New Roman" w:hAnsi="Times New Roman"/>
          <w:sz w:val="28"/>
        </w:rPr>
        <w:t>ем не превышает 15 тысяч рублей</w:t>
      </w:r>
      <w:r>
        <w:rPr>
          <w:rFonts w:ascii="Times New Roman" w:hAnsi="Times New Roman"/>
          <w:sz w:val="28"/>
        </w:rPr>
        <w:t xml:space="preserve">, </w:t>
      </w:r>
      <w:r>
        <w:rPr>
          <w:rFonts w:ascii="Times New Roman" w:hAnsi="Times New Roman"/>
          <w:sz w:val="28"/>
        </w:rPr>
        <w:t>28</w:t>
      </w:r>
      <w:r>
        <w:rPr>
          <w:rFonts w:ascii="Times New Roman" w:hAnsi="Times New Roman"/>
          <w:sz w:val="28"/>
        </w:rPr>
        <w:t xml:space="preserve">% респондентов указали на диапазон в 15 – 25 тысяч рублей, </w:t>
      </w:r>
      <w:r>
        <w:rPr>
          <w:rFonts w:ascii="Times New Roman" w:hAnsi="Times New Roman"/>
          <w:sz w:val="28"/>
        </w:rPr>
        <w:t>при этом 16% опрощенных указали что уровень среднемесячного дохода у них от 25 тысяч рублей, от 40 до 60 тыс.рублей имеют доход 3% респондентов. Д</w:t>
      </w:r>
      <w:r>
        <w:rPr>
          <w:rFonts w:ascii="Times New Roman" w:hAnsi="Times New Roman"/>
          <w:color w:val="000000"/>
          <w:sz w:val="28"/>
        </w:rPr>
        <w:t xml:space="preserve">оход </w:t>
      </w:r>
      <w:r>
        <w:rPr>
          <w:rFonts w:ascii="Times New Roman" w:hAnsi="Times New Roman"/>
          <w:color w:val="000000"/>
          <w:sz w:val="28"/>
        </w:rPr>
        <w:t>свыше</w:t>
      </w:r>
      <w:r>
        <w:rPr>
          <w:rFonts w:ascii="Times New Roman" w:hAnsi="Times New Roman"/>
          <w:color w:val="000000"/>
          <w:sz w:val="28"/>
        </w:rPr>
        <w:t xml:space="preserve"> 6</w:t>
      </w:r>
      <w:r>
        <w:rPr>
          <w:rFonts w:ascii="Times New Roman" w:hAnsi="Times New Roman"/>
          <w:color w:val="000000"/>
          <w:sz w:val="28"/>
        </w:rPr>
        <w:t>1</w:t>
      </w:r>
      <w:r>
        <w:rPr>
          <w:rFonts w:ascii="Times New Roman" w:hAnsi="Times New Roman"/>
          <w:color w:val="000000"/>
          <w:sz w:val="28"/>
        </w:rPr>
        <w:t xml:space="preserve"> тысяч рублей в расчете на одного члена семьи никто не указал.</w:t>
      </w:r>
    </w:p>
    <w:p w14:paraId="76020000">
      <w:pPr>
        <w:spacing w:after="0"/>
        <w:ind/>
        <w:jc w:val="center"/>
        <w:rPr>
          <w:rFonts w:ascii="Times New Roman" w:hAnsi="Times New Roman"/>
          <w:sz w:val="28"/>
        </w:rPr>
      </w:pPr>
      <w:r>
        <w:rPr>
          <w:rFonts w:ascii="Times New Roman" w:hAnsi="Times New Roman"/>
          <w:sz w:val="28"/>
        </w:rPr>
        <w:drawing>
          <wp:inline>
            <wp:extent cx="4875022" cy="2752344"/>
            <wp:docPr hidden="false" id="44" name="Picture 44"/>
            <a:graphic>
              <a:graphicData uri="http://schemas.openxmlformats.org/drawingml/2006/picture">
                <pic:pic>
                  <pic:nvPicPr>
                    <pic:cNvPr hidden="false" id="43" name="Picture 43"/>
                    <pic:cNvPicPr preferRelativeResize="true"/>
                  </pic:nvPicPr>
                  <pic:blipFill>
                    <a:blip r:embed="rId25"/>
                    <a:srcRect b="0" l="0" r="0" t="0"/>
                    <a:stretch/>
                  </pic:blipFill>
                  <pic:spPr>
                    <a:xfrm flipH="false" flipV="false" rot="0">
                      <a:ext cx="4875022" cy="2752344"/>
                    </a:xfrm>
                    <a:prstGeom prst="rect"/>
                  </pic:spPr>
                </pic:pic>
              </a:graphicData>
            </a:graphic>
          </wp:inline>
        </w:drawing>
      </w:r>
    </w:p>
    <w:p w14:paraId="77020000">
      <w:pPr>
        <w:spacing w:after="0"/>
        <w:ind/>
        <w:jc w:val="center"/>
        <w:rPr>
          <w:rFonts w:ascii="Times New Roman" w:hAnsi="Times New Roman"/>
          <w:sz w:val="20"/>
        </w:rPr>
      </w:pPr>
      <w:r>
        <w:rPr>
          <w:rFonts w:ascii="Times New Roman" w:hAnsi="Times New Roman"/>
          <w:sz w:val="20"/>
        </w:rPr>
        <w:t xml:space="preserve">Рисунок 2.6.Структура </w:t>
      </w:r>
      <w:r>
        <w:rPr>
          <w:rFonts w:ascii="Times New Roman" w:hAnsi="Times New Roman"/>
          <w:sz w:val="20"/>
        </w:rPr>
        <w:t xml:space="preserve">респондентов </w:t>
      </w:r>
      <w:r>
        <w:rPr>
          <w:rFonts w:ascii="Times New Roman" w:hAnsi="Times New Roman"/>
          <w:sz w:val="20"/>
        </w:rPr>
        <w:t>по среднемесячному доходу на одного члена семьи (тыс. рублей), % к опрошенным</w:t>
      </w:r>
    </w:p>
    <w:p w14:paraId="78020000">
      <w:pPr>
        <w:spacing w:after="0"/>
        <w:ind/>
        <w:jc w:val="both"/>
        <w:rPr>
          <w:rFonts w:ascii="Times New Roman" w:hAnsi="Times New Roman"/>
          <w:sz w:val="28"/>
        </w:rPr>
      </w:pPr>
    </w:p>
    <w:p w14:paraId="79020000">
      <w:pPr>
        <w:spacing w:after="0"/>
        <w:ind w:firstLine="708" w:left="0"/>
        <w:jc w:val="both"/>
        <w:rPr>
          <w:rFonts w:ascii="Times New Roman" w:hAnsi="Times New Roman"/>
          <w:sz w:val="28"/>
        </w:rPr>
      </w:pPr>
      <w:r>
        <w:rPr>
          <w:rFonts w:ascii="Times New Roman" w:hAnsi="Times New Roman"/>
          <w:sz w:val="28"/>
        </w:rPr>
        <w:t xml:space="preserve">Низкий доход </w:t>
      </w:r>
      <w:r>
        <w:rPr>
          <w:rFonts w:ascii="Times New Roman" w:hAnsi="Times New Roman"/>
          <w:sz w:val="28"/>
        </w:rPr>
        <w:t xml:space="preserve">на одного члена семьи </w:t>
      </w:r>
      <w:r>
        <w:rPr>
          <w:rFonts w:ascii="Times New Roman" w:hAnsi="Times New Roman"/>
          <w:sz w:val="28"/>
        </w:rPr>
        <w:t>(менее 15 тысяч рублей на одного члена семьи) в основном имеют работающие респонденты, имею</w:t>
      </w:r>
      <w:r>
        <w:rPr>
          <w:rFonts w:ascii="Times New Roman" w:hAnsi="Times New Roman"/>
          <w:sz w:val="28"/>
        </w:rPr>
        <w:t>щие одного или нескольких</w:t>
      </w:r>
      <w:r>
        <w:rPr>
          <w:rFonts w:ascii="Times New Roman" w:hAnsi="Times New Roman"/>
          <w:sz w:val="28"/>
        </w:rPr>
        <w:t xml:space="preserve"> несовершеннолетних детей. </w:t>
      </w:r>
    </w:p>
    <w:p w14:paraId="7A020000">
      <w:pPr>
        <w:pStyle w:val="Style_12"/>
        <w:spacing w:before="0"/>
        <w:ind/>
        <w:jc w:val="center"/>
        <w:rPr>
          <w:rFonts w:ascii="Times New Roman" w:hAnsi="Times New Roman"/>
          <w:color w:val="000000"/>
          <w:sz w:val="28"/>
        </w:rPr>
      </w:pPr>
      <w:r>
        <w:rPr>
          <w:rFonts w:ascii="Times New Roman" w:hAnsi="Times New Roman"/>
          <w:color w:val="000000"/>
          <w:sz w:val="28"/>
        </w:rPr>
        <w:t>Характеристика состояния конкуренции на социально значимых и приоритетных рынках</w:t>
      </w:r>
      <w:r>
        <w:rPr>
          <w:rFonts w:ascii="Times New Roman" w:hAnsi="Times New Roman"/>
          <w:color w:val="000000"/>
          <w:sz w:val="28"/>
        </w:rPr>
        <w:t xml:space="preserve"> города Волгодонска</w:t>
      </w:r>
    </w:p>
    <w:p w14:paraId="7B020000">
      <w:pPr>
        <w:pStyle w:val="Style_12"/>
        <w:spacing w:before="0"/>
        <w:ind/>
        <w:jc w:val="center"/>
        <w:rPr>
          <w:rFonts w:ascii="Times New Roman" w:hAnsi="Times New Roman"/>
          <w:color w:val="000000"/>
          <w:sz w:val="28"/>
        </w:rPr>
      </w:pPr>
      <w:r>
        <w:rPr>
          <w:rFonts w:ascii="Times New Roman" w:hAnsi="Times New Roman"/>
          <w:color w:val="000000"/>
          <w:sz w:val="28"/>
        </w:rPr>
        <w:t>(оценка состояния конкуренции и конкурентной среды)</w:t>
      </w:r>
    </w:p>
    <w:p w14:paraId="7C020000">
      <w:pPr>
        <w:spacing w:after="0"/>
        <w:ind/>
        <w:jc w:val="both"/>
        <w:rPr>
          <w:rFonts w:ascii="Times New Roman" w:hAnsi="Times New Roman"/>
          <w:sz w:val="28"/>
        </w:rPr>
      </w:pPr>
    </w:p>
    <w:p w14:paraId="7D020000">
      <w:pPr>
        <w:spacing w:after="0"/>
        <w:ind/>
        <w:jc w:val="center"/>
        <w:rPr>
          <w:rFonts w:ascii="Times New Roman" w:hAnsi="Times New Roman"/>
          <w:b w:val="1"/>
          <w:sz w:val="28"/>
          <w:u w:val="single"/>
        </w:rPr>
      </w:pPr>
      <w:r>
        <w:rPr>
          <w:rFonts w:ascii="Times New Roman" w:hAnsi="Times New Roman"/>
          <w:b w:val="1"/>
          <w:sz w:val="28"/>
          <w:u w:val="single"/>
        </w:rPr>
        <w:t>1. Рынок услуг дошкольного образования</w:t>
      </w:r>
    </w:p>
    <w:p w14:paraId="7E020000">
      <w:pPr>
        <w:spacing w:after="0"/>
        <w:ind/>
        <w:jc w:val="both"/>
        <w:rPr>
          <w:rFonts w:ascii="Times New Roman" w:hAnsi="Times New Roman"/>
          <w:sz w:val="16"/>
        </w:rPr>
      </w:pPr>
    </w:p>
    <w:p w14:paraId="7F020000">
      <w:pPr>
        <w:spacing w:after="0"/>
        <w:ind w:firstLine="709" w:left="0"/>
        <w:jc w:val="both"/>
        <w:rPr>
          <w:rFonts w:ascii="Times New Roman" w:hAnsi="Times New Roman"/>
          <w:sz w:val="28"/>
        </w:rPr>
      </w:pPr>
      <w:r>
        <w:rPr>
          <w:rFonts w:ascii="Times New Roman" w:hAnsi="Times New Roman"/>
          <w:sz w:val="28"/>
        </w:rPr>
        <w:t>Большая часть респондентов 7</w:t>
      </w:r>
      <w:r>
        <w:rPr>
          <w:rFonts w:ascii="Times New Roman" w:hAnsi="Times New Roman"/>
          <w:sz w:val="28"/>
        </w:rPr>
        <w:t>5</w:t>
      </w:r>
      <w:r>
        <w:rPr>
          <w:rFonts w:ascii="Times New Roman" w:hAnsi="Times New Roman"/>
          <w:sz w:val="28"/>
        </w:rPr>
        <w:t>% считают, что организаций, предоставляющих услуги дошкольного образования на рынке города Волгодонска, достаточно</w:t>
      </w:r>
      <w:r>
        <w:rPr>
          <w:rFonts w:ascii="Times New Roman" w:hAnsi="Times New Roman"/>
          <w:sz w:val="28"/>
        </w:rPr>
        <w:t xml:space="preserve"> (рисунок 2.7.), в 2020 году с этим утверждением согласились 72% респондентов. П</w:t>
      </w:r>
      <w:r>
        <w:rPr>
          <w:rFonts w:ascii="Times New Roman" w:hAnsi="Times New Roman"/>
          <w:sz w:val="28"/>
        </w:rPr>
        <w:t>олага</w:t>
      </w:r>
      <w:r>
        <w:rPr>
          <w:rFonts w:ascii="Times New Roman" w:hAnsi="Times New Roman"/>
          <w:sz w:val="28"/>
        </w:rPr>
        <w:t>ют</w:t>
      </w:r>
      <w:r>
        <w:rPr>
          <w:rFonts w:ascii="Times New Roman" w:hAnsi="Times New Roman"/>
          <w:sz w:val="28"/>
        </w:rPr>
        <w:t>, что таки</w:t>
      </w:r>
      <w:r>
        <w:rPr>
          <w:rFonts w:ascii="Times New Roman" w:hAnsi="Times New Roman"/>
          <w:sz w:val="28"/>
        </w:rPr>
        <w:t>х</w:t>
      </w:r>
      <w:r>
        <w:rPr>
          <w:rFonts w:ascii="Times New Roman" w:hAnsi="Times New Roman"/>
          <w:sz w:val="28"/>
        </w:rPr>
        <w:t xml:space="preserve"> организаци</w:t>
      </w:r>
      <w:r>
        <w:rPr>
          <w:rFonts w:ascii="Times New Roman" w:hAnsi="Times New Roman"/>
          <w:sz w:val="28"/>
        </w:rPr>
        <w:t>и</w:t>
      </w:r>
      <w:r>
        <w:rPr>
          <w:rFonts w:ascii="Times New Roman" w:hAnsi="Times New Roman"/>
          <w:sz w:val="28"/>
        </w:rPr>
        <w:t xml:space="preserve"> на рынке существу</w:t>
      </w:r>
      <w:r>
        <w:rPr>
          <w:rFonts w:ascii="Times New Roman" w:hAnsi="Times New Roman"/>
          <w:sz w:val="28"/>
        </w:rPr>
        <w:t>е</w:t>
      </w:r>
      <w:r>
        <w:rPr>
          <w:rFonts w:ascii="Times New Roman" w:hAnsi="Times New Roman"/>
          <w:sz w:val="28"/>
        </w:rPr>
        <w:t xml:space="preserve">т </w:t>
      </w:r>
      <w:r>
        <w:rPr>
          <w:rFonts w:ascii="Times New Roman" w:hAnsi="Times New Roman"/>
          <w:sz w:val="28"/>
        </w:rPr>
        <w:t>малое</w:t>
      </w:r>
      <w:r>
        <w:rPr>
          <w:rFonts w:ascii="Times New Roman" w:hAnsi="Times New Roman"/>
          <w:sz w:val="28"/>
        </w:rPr>
        <w:t xml:space="preserve"> количеств</w:t>
      </w:r>
      <w:r>
        <w:rPr>
          <w:rFonts w:ascii="Times New Roman" w:hAnsi="Times New Roman"/>
          <w:sz w:val="28"/>
        </w:rPr>
        <w:t>о</w:t>
      </w:r>
      <w:r>
        <w:rPr>
          <w:rFonts w:ascii="Times New Roman" w:hAnsi="Times New Roman"/>
          <w:sz w:val="28"/>
        </w:rPr>
        <w:t xml:space="preserve"> </w:t>
      </w:r>
      <w:r>
        <w:rPr>
          <w:rFonts w:ascii="Times New Roman" w:hAnsi="Times New Roman"/>
          <w:sz w:val="28"/>
        </w:rPr>
        <w:t xml:space="preserve">– 22 </w:t>
      </w:r>
      <w:r>
        <w:rPr>
          <w:rFonts w:ascii="Times New Roman" w:hAnsi="Times New Roman"/>
          <w:sz w:val="28"/>
        </w:rPr>
        <w:t xml:space="preserve">% респондентов, </w:t>
      </w: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опрошенных</w:t>
      </w:r>
      <w:r>
        <w:rPr>
          <w:rFonts w:ascii="Times New Roman" w:hAnsi="Times New Roman"/>
          <w:sz w:val="28"/>
        </w:rPr>
        <w:t xml:space="preserve"> посчитали</w:t>
      </w:r>
      <w:r>
        <w:rPr>
          <w:rFonts w:ascii="Times New Roman" w:hAnsi="Times New Roman"/>
          <w:sz w:val="28"/>
        </w:rPr>
        <w:t xml:space="preserve"> что услуг не</w:t>
      </w:r>
      <w:r>
        <w:rPr>
          <w:rFonts w:ascii="Times New Roman" w:hAnsi="Times New Roman"/>
          <w:sz w:val="28"/>
        </w:rPr>
        <w:t>т</w:t>
      </w:r>
      <w:r>
        <w:rPr>
          <w:rFonts w:ascii="Times New Roman" w:hAnsi="Times New Roman"/>
          <w:sz w:val="28"/>
        </w:rPr>
        <w:t xml:space="preserve"> совсем</w:t>
      </w:r>
      <w:r>
        <w:rPr>
          <w:rFonts w:ascii="Times New Roman" w:hAnsi="Times New Roman"/>
          <w:sz w:val="28"/>
        </w:rPr>
        <w:t xml:space="preserve">, а </w:t>
      </w:r>
      <w:r>
        <w:rPr>
          <w:rFonts w:ascii="Times New Roman" w:hAnsi="Times New Roman"/>
          <w:sz w:val="28"/>
        </w:rPr>
        <w:t>2</w:t>
      </w:r>
      <w:r>
        <w:rPr>
          <w:rFonts w:ascii="Times New Roman" w:hAnsi="Times New Roman"/>
          <w:sz w:val="28"/>
        </w:rPr>
        <w:t>% – их избыточно (много)</w:t>
      </w:r>
      <w:r>
        <w:rPr>
          <w:rFonts w:ascii="Times New Roman" w:hAnsi="Times New Roman"/>
          <w:sz w:val="28"/>
        </w:rPr>
        <w:t>.</w:t>
      </w:r>
    </w:p>
    <w:p w14:paraId="80020000">
      <w:pPr>
        <w:spacing w:after="0"/>
        <w:ind/>
        <w:jc w:val="center"/>
        <w:rPr>
          <w:rFonts w:ascii="Times New Roman" w:hAnsi="Times New Roman"/>
          <w:sz w:val="28"/>
        </w:rPr>
      </w:pPr>
      <w:r>
        <w:rPr>
          <w:rFonts w:ascii="Times New Roman" w:hAnsi="Times New Roman"/>
          <w:sz w:val="28"/>
        </w:rPr>
        <w:drawing>
          <wp:inline>
            <wp:extent cx="4590415" cy="2392172"/>
            <wp:docPr hidden="false" id="46" name="Picture 46"/>
            <a:graphic>
              <a:graphicData uri="http://schemas.openxmlformats.org/drawingml/2006/picture">
                <pic:pic>
                  <pic:nvPicPr>
                    <pic:cNvPr hidden="false" id="45" name="Picture 45"/>
                    <pic:cNvPicPr preferRelativeResize="true"/>
                  </pic:nvPicPr>
                  <pic:blipFill>
                    <a:blip r:embed="rId26"/>
                    <a:srcRect b="0" l="0" r="0" t="0"/>
                    <a:stretch/>
                  </pic:blipFill>
                  <pic:spPr>
                    <a:xfrm flipH="false" flipV="false" rot="0">
                      <a:ext cx="4590415" cy="2392172"/>
                    </a:xfrm>
                    <a:prstGeom prst="rect"/>
                  </pic:spPr>
                </pic:pic>
              </a:graphicData>
            </a:graphic>
          </wp:inline>
        </w:drawing>
      </w:r>
    </w:p>
    <w:p w14:paraId="81020000">
      <w:pPr>
        <w:spacing w:after="0"/>
        <w:ind/>
        <w:jc w:val="center"/>
        <w:rPr>
          <w:rFonts w:ascii="Times New Roman" w:hAnsi="Times New Roman"/>
          <w:sz w:val="20"/>
        </w:rPr>
      </w:pPr>
      <w:r>
        <w:rPr>
          <w:rFonts w:ascii="Times New Roman" w:hAnsi="Times New Roman"/>
          <w:sz w:val="20"/>
        </w:rPr>
        <w:t>Рисунок 2.7.</w:t>
      </w:r>
      <w:r>
        <w:rPr>
          <w:rFonts w:ascii="Times New Roman" w:hAnsi="Times New Roman"/>
          <w:b w:val="1"/>
          <w:sz w:val="20"/>
        </w:rPr>
        <w:t xml:space="preserve"> </w:t>
      </w:r>
      <w:r>
        <w:rPr>
          <w:rFonts w:ascii="Times New Roman" w:hAnsi="Times New Roman"/>
          <w:sz w:val="20"/>
        </w:rPr>
        <w:t>Количество организаций на рынке услуг</w:t>
      </w:r>
      <w:r>
        <w:rPr>
          <w:rFonts w:ascii="Times New Roman" w:hAnsi="Times New Roman"/>
          <w:sz w:val="20"/>
        </w:rPr>
        <w:t xml:space="preserve"> дошкольного образования</w:t>
      </w:r>
      <w:r>
        <w:rPr>
          <w:rFonts w:ascii="Times New Roman" w:hAnsi="Times New Roman"/>
          <w:sz w:val="20"/>
        </w:rPr>
        <w:t>, % к опрошенным</w:t>
      </w:r>
    </w:p>
    <w:p w14:paraId="82020000">
      <w:pPr>
        <w:spacing w:after="0" w:line="240" w:lineRule="auto"/>
        <w:ind w:firstLine="709" w:left="0"/>
        <w:jc w:val="both"/>
        <w:rPr>
          <w:rFonts w:ascii="Times New Roman" w:hAnsi="Times New Roman"/>
          <w:sz w:val="28"/>
        </w:rPr>
      </w:pPr>
      <w:r>
        <w:rPr>
          <w:rFonts w:ascii="Times New Roman" w:hAnsi="Times New Roman"/>
          <w:sz w:val="28"/>
        </w:rPr>
        <w:t xml:space="preserve">Респонденты </w:t>
      </w:r>
      <w:r>
        <w:rPr>
          <w:rFonts w:ascii="Times New Roman" w:hAnsi="Times New Roman"/>
          <w:sz w:val="28"/>
        </w:rPr>
        <w:t>отметили, что за последние 3 года количество участников рынка услуг дошкольного образования увеличилось</w:t>
      </w:r>
      <w:r>
        <w:rPr>
          <w:rFonts w:ascii="Times New Roman" w:hAnsi="Times New Roman"/>
          <w:sz w:val="28"/>
        </w:rPr>
        <w:t xml:space="preserve"> - </w:t>
      </w:r>
      <w:r>
        <w:rPr>
          <w:rFonts w:ascii="Times New Roman" w:hAnsi="Times New Roman"/>
          <w:sz w:val="28"/>
        </w:rPr>
        <w:t>2</w:t>
      </w:r>
      <w:r>
        <w:rPr>
          <w:rFonts w:ascii="Times New Roman" w:hAnsi="Times New Roman"/>
          <w:sz w:val="28"/>
        </w:rPr>
        <w:t>0%.</w:t>
      </w:r>
      <w:r>
        <w:rPr>
          <w:rFonts w:ascii="Times New Roman" w:hAnsi="Times New Roman"/>
          <w:sz w:val="28"/>
        </w:rPr>
        <w:t xml:space="preserve"> Годом ранее увеличение количества участников рынка услуг дошкольного образования </w:t>
      </w:r>
      <w:r>
        <w:rPr>
          <w:rFonts w:ascii="Times New Roman" w:hAnsi="Times New Roman"/>
          <w:sz w:val="28"/>
        </w:rPr>
        <w:t>отмечали 29% респондентов</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Неизменным объем рынка </w:t>
      </w:r>
      <w:r>
        <w:rPr>
          <w:rFonts w:ascii="Times New Roman" w:hAnsi="Times New Roman"/>
          <w:sz w:val="28"/>
        </w:rPr>
        <w:t>услуг дошкольного образования</w:t>
      </w:r>
      <w:r>
        <w:rPr>
          <w:rFonts w:ascii="Times New Roman" w:hAnsi="Times New Roman"/>
          <w:sz w:val="28"/>
        </w:rPr>
        <w:t xml:space="preserve"> </w:t>
      </w:r>
      <w:r>
        <w:rPr>
          <w:rFonts w:ascii="Times New Roman" w:hAnsi="Times New Roman"/>
          <w:sz w:val="28"/>
        </w:rPr>
        <w:t>по</w:t>
      </w:r>
      <w:r>
        <w:rPr>
          <w:rFonts w:ascii="Times New Roman" w:hAnsi="Times New Roman"/>
          <w:sz w:val="28"/>
        </w:rPr>
        <w:t>считал</w:t>
      </w:r>
      <w:r>
        <w:rPr>
          <w:rFonts w:ascii="Times New Roman" w:hAnsi="Times New Roman"/>
          <w:sz w:val="28"/>
        </w:rPr>
        <w:t xml:space="preserve">и </w:t>
      </w:r>
      <w:r>
        <w:rPr>
          <w:rFonts w:ascii="Times New Roman" w:hAnsi="Times New Roman"/>
          <w:sz w:val="28"/>
        </w:rPr>
        <w:t>5</w:t>
      </w:r>
      <w:r>
        <w:rPr>
          <w:rFonts w:ascii="Times New Roman" w:hAnsi="Times New Roman"/>
          <w:sz w:val="28"/>
        </w:rPr>
        <w:t>5%</w:t>
      </w:r>
      <w:r>
        <w:rPr>
          <w:rFonts w:ascii="Times New Roman" w:hAnsi="Times New Roman"/>
          <w:sz w:val="28"/>
        </w:rPr>
        <w:t xml:space="preserve"> опрошенны</w:t>
      </w:r>
      <w:r>
        <w:rPr>
          <w:rFonts w:ascii="Times New Roman" w:hAnsi="Times New Roman"/>
          <w:sz w:val="28"/>
        </w:rPr>
        <w:t>х</w:t>
      </w:r>
      <w:r>
        <w:rPr>
          <w:rFonts w:ascii="Times New Roman" w:hAnsi="Times New Roman"/>
          <w:sz w:val="28"/>
        </w:rPr>
        <w:t xml:space="preserve"> потребител</w:t>
      </w:r>
      <w:r>
        <w:rPr>
          <w:rFonts w:ascii="Times New Roman" w:hAnsi="Times New Roman"/>
          <w:sz w:val="28"/>
        </w:rPr>
        <w:t>ей</w:t>
      </w:r>
      <w:r>
        <w:rPr>
          <w:rFonts w:ascii="Times New Roman" w:hAnsi="Times New Roman"/>
          <w:sz w:val="28"/>
        </w:rPr>
        <w:t xml:space="preserve">, при этом </w:t>
      </w:r>
      <w:r>
        <w:rPr>
          <w:rFonts w:ascii="Times New Roman" w:hAnsi="Times New Roman"/>
          <w:sz w:val="28"/>
        </w:rPr>
        <w:t>15</w:t>
      </w:r>
      <w:r>
        <w:rPr>
          <w:rFonts w:ascii="Times New Roman" w:hAnsi="Times New Roman"/>
          <w:sz w:val="28"/>
        </w:rPr>
        <w:t xml:space="preserve">% </w:t>
      </w:r>
      <w:r>
        <w:rPr>
          <w:rFonts w:ascii="Times New Roman" w:hAnsi="Times New Roman"/>
          <w:sz w:val="28"/>
        </w:rPr>
        <w:t xml:space="preserve">затруднились ответить, а посчитали </w:t>
      </w:r>
      <w:r>
        <w:rPr>
          <w:rFonts w:ascii="Times New Roman" w:hAnsi="Times New Roman"/>
          <w:sz w:val="28"/>
        </w:rPr>
        <w:t>что</w:t>
      </w:r>
      <w:r>
        <w:rPr>
          <w:rFonts w:ascii="Times New Roman" w:hAnsi="Times New Roman"/>
          <w:sz w:val="28"/>
        </w:rPr>
        <w:t>,</w:t>
      </w:r>
      <w:r>
        <w:rPr>
          <w:rFonts w:ascii="Times New Roman" w:hAnsi="Times New Roman"/>
          <w:sz w:val="28"/>
        </w:rPr>
        <w:t xml:space="preserve"> за последние 3 года он снизился </w:t>
      </w: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(рисунок 2.8.). </w:t>
      </w:r>
    </w:p>
    <w:p w14:paraId="83020000">
      <w:pPr>
        <w:spacing w:after="0"/>
        <w:ind/>
        <w:jc w:val="center"/>
        <w:rPr>
          <w:rFonts w:ascii="Times New Roman" w:hAnsi="Times New Roman"/>
          <w:sz w:val="28"/>
        </w:rPr>
      </w:pPr>
      <w:r>
        <w:rPr>
          <w:rFonts w:ascii="Times New Roman" w:hAnsi="Times New Roman"/>
          <w:sz w:val="28"/>
        </w:rPr>
        <w:drawing>
          <wp:inline>
            <wp:extent cx="4590415" cy="2353564"/>
            <wp:docPr hidden="false" id="48" name="Picture 48"/>
            <a:graphic>
              <a:graphicData uri="http://schemas.openxmlformats.org/drawingml/2006/picture">
                <pic:pic>
                  <pic:nvPicPr>
                    <pic:cNvPr hidden="false" id="47" name="Picture 47"/>
                    <pic:cNvPicPr preferRelativeResize="true"/>
                  </pic:nvPicPr>
                  <pic:blipFill>
                    <a:blip r:embed="rId27"/>
                    <a:srcRect b="0" l="0" r="0" t="0"/>
                    <a:stretch/>
                  </pic:blipFill>
                  <pic:spPr>
                    <a:xfrm flipH="false" flipV="false" rot="0">
                      <a:ext cx="4590415" cy="2353564"/>
                    </a:xfrm>
                    <a:prstGeom prst="rect"/>
                  </pic:spPr>
                </pic:pic>
              </a:graphicData>
            </a:graphic>
          </wp:inline>
        </w:drawing>
      </w:r>
    </w:p>
    <w:p w14:paraId="84020000">
      <w:pPr>
        <w:spacing w:after="0"/>
        <w:ind/>
        <w:jc w:val="center"/>
        <w:rPr>
          <w:rFonts w:ascii="Times New Roman" w:hAnsi="Times New Roman"/>
          <w:b w:val="1"/>
          <w:sz w:val="20"/>
        </w:rPr>
      </w:pPr>
      <w:r>
        <w:rPr>
          <w:rFonts w:ascii="Times New Roman" w:hAnsi="Times New Roman"/>
          <w:sz w:val="20"/>
        </w:rPr>
        <w:t>Рисунок 2.8.</w:t>
      </w:r>
      <w:r>
        <w:rPr>
          <w:rFonts w:ascii="Times New Roman" w:hAnsi="Times New Roman"/>
          <w:b w:val="1"/>
          <w:sz w:val="20"/>
        </w:rPr>
        <w:t xml:space="preserve"> </w:t>
      </w:r>
      <w:r>
        <w:rPr>
          <w:rFonts w:ascii="Times New Roman" w:hAnsi="Times New Roman"/>
          <w:sz w:val="20"/>
        </w:rPr>
        <w:t xml:space="preserve">Изменение количества </w:t>
      </w:r>
      <w:r>
        <w:rPr>
          <w:rFonts w:ascii="Times New Roman" w:hAnsi="Times New Roman"/>
          <w:sz w:val="20"/>
        </w:rPr>
        <w:t>организаций</w:t>
      </w:r>
      <w:r>
        <w:rPr>
          <w:rFonts w:ascii="Times New Roman" w:hAnsi="Times New Roman"/>
          <w:sz w:val="20"/>
        </w:rPr>
        <w:t>, предоставляющих услуг</w:t>
      </w:r>
      <w:r>
        <w:rPr>
          <w:rFonts w:ascii="Times New Roman" w:hAnsi="Times New Roman"/>
          <w:sz w:val="20"/>
        </w:rPr>
        <w:t>и дошкольного образования</w:t>
      </w:r>
      <w:r>
        <w:rPr>
          <w:rFonts w:ascii="Times New Roman" w:hAnsi="Times New Roman"/>
          <w:sz w:val="20"/>
        </w:rPr>
        <w:t>, в течение последних 3 лет, % к опрошенным</w:t>
      </w:r>
    </w:p>
    <w:p w14:paraId="85020000">
      <w:pPr>
        <w:spacing w:after="0"/>
        <w:ind w:firstLine="709" w:left="0"/>
        <w:jc w:val="both"/>
        <w:rPr>
          <w:rFonts w:ascii="Times New Roman" w:hAnsi="Times New Roman"/>
          <w:sz w:val="28"/>
        </w:rPr>
      </w:pPr>
      <w:r>
        <w:rPr>
          <w:rFonts w:ascii="Times New Roman" w:hAnsi="Times New Roman"/>
          <w:sz w:val="28"/>
        </w:rPr>
        <w:t xml:space="preserve">В большей степени респонденты </w:t>
      </w:r>
      <w:r>
        <w:rPr>
          <w:rFonts w:ascii="Times New Roman" w:hAnsi="Times New Roman"/>
          <w:sz w:val="28"/>
        </w:rPr>
        <w:t>скорее удовлетворены уровнем цен, к</w:t>
      </w:r>
      <w:r>
        <w:rPr>
          <w:rFonts w:ascii="Times New Roman" w:hAnsi="Times New Roman"/>
          <w:sz w:val="28"/>
        </w:rPr>
        <w:t xml:space="preserve">ачеством и возможностью выбора услуг </w:t>
      </w:r>
      <w:r>
        <w:rPr>
          <w:rFonts w:ascii="Times New Roman" w:hAnsi="Times New Roman"/>
          <w:sz w:val="28"/>
        </w:rPr>
        <w:t>33</w:t>
      </w:r>
      <w:r>
        <w:rPr>
          <w:rFonts w:ascii="Times New Roman" w:hAnsi="Times New Roman"/>
          <w:sz w:val="28"/>
        </w:rPr>
        <w:t>%</w:t>
      </w:r>
      <w:r>
        <w:rPr>
          <w:rFonts w:ascii="Times New Roman" w:hAnsi="Times New Roman"/>
          <w:sz w:val="28"/>
        </w:rPr>
        <w:t>, 32%</w:t>
      </w:r>
      <w:r>
        <w:rPr>
          <w:rFonts w:ascii="Times New Roman" w:hAnsi="Times New Roman"/>
          <w:sz w:val="28"/>
        </w:rPr>
        <w:t xml:space="preserve"> и </w:t>
      </w:r>
      <w:r>
        <w:rPr>
          <w:rFonts w:ascii="Times New Roman" w:hAnsi="Times New Roman"/>
          <w:sz w:val="28"/>
        </w:rPr>
        <w:t>36</w:t>
      </w:r>
      <w:r>
        <w:rPr>
          <w:rFonts w:ascii="Times New Roman" w:hAnsi="Times New Roman"/>
          <w:sz w:val="28"/>
        </w:rPr>
        <w:t>% опрошенных соответственно</w:t>
      </w:r>
      <w:r>
        <w:rPr>
          <w:rFonts w:ascii="Times New Roman" w:hAnsi="Times New Roman"/>
          <w:sz w:val="28"/>
        </w:rPr>
        <w:t>. Затруднились ответить об</w:t>
      </w:r>
      <w:r>
        <w:rPr>
          <w:rFonts w:ascii="Times New Roman" w:hAnsi="Times New Roman"/>
          <w:sz w:val="28"/>
        </w:rPr>
        <w:t xml:space="preserve"> уровне цен</w:t>
      </w:r>
      <w:r>
        <w:rPr>
          <w:rFonts w:ascii="Times New Roman" w:hAnsi="Times New Roman"/>
          <w:sz w:val="28"/>
        </w:rPr>
        <w:t>, возможности выбора и качестве услуг</w:t>
      </w:r>
      <w:r>
        <w:rPr>
          <w:rFonts w:ascii="Times New Roman" w:hAnsi="Times New Roman"/>
          <w:sz w:val="28"/>
        </w:rPr>
        <w:t xml:space="preserve"> на </w:t>
      </w:r>
      <w:r>
        <w:rPr>
          <w:rFonts w:ascii="Times New Roman" w:hAnsi="Times New Roman"/>
          <w:sz w:val="28"/>
        </w:rPr>
        <w:t>рынке дошкольного образования</w:t>
      </w:r>
      <w:r>
        <w:rPr>
          <w:rFonts w:ascii="Times New Roman" w:hAnsi="Times New Roman"/>
          <w:sz w:val="28"/>
        </w:rPr>
        <w:t xml:space="preserve"> (</w:t>
      </w:r>
      <w:r>
        <w:rPr>
          <w:rFonts w:ascii="Times New Roman" w:hAnsi="Times New Roman"/>
          <w:sz w:val="28"/>
        </w:rPr>
        <w:t>24</w:t>
      </w:r>
      <w:r>
        <w:rPr>
          <w:rFonts w:ascii="Times New Roman" w:hAnsi="Times New Roman"/>
          <w:sz w:val="28"/>
        </w:rPr>
        <w:t>%</w:t>
      </w:r>
      <w:r>
        <w:rPr>
          <w:rFonts w:ascii="Times New Roman" w:hAnsi="Times New Roman"/>
          <w:sz w:val="28"/>
        </w:rPr>
        <w:t>, 29% и 21% соответственно</w:t>
      </w:r>
      <w:r>
        <w:rPr>
          <w:rFonts w:ascii="Times New Roman" w:hAnsi="Times New Roman"/>
          <w:sz w:val="28"/>
        </w:rPr>
        <w:t>).</w:t>
      </w:r>
      <w:r>
        <w:rPr>
          <w:rFonts w:ascii="Times New Roman" w:hAnsi="Times New Roman"/>
          <w:sz w:val="28"/>
        </w:rPr>
        <w:t xml:space="preserve"> Удовлетворены возможностью выбора – </w:t>
      </w:r>
      <w:r>
        <w:rPr>
          <w:rFonts w:ascii="Times New Roman" w:hAnsi="Times New Roman"/>
          <w:sz w:val="28"/>
        </w:rPr>
        <w:t>2</w:t>
      </w:r>
      <w:r>
        <w:rPr>
          <w:rFonts w:ascii="Times New Roman" w:hAnsi="Times New Roman"/>
          <w:sz w:val="28"/>
        </w:rPr>
        <w:t>5%, качеством – 23%, ценой – 1</w:t>
      </w:r>
      <w:r>
        <w:rPr>
          <w:rFonts w:ascii="Times New Roman" w:hAnsi="Times New Roman"/>
          <w:sz w:val="28"/>
        </w:rPr>
        <w:t>0</w:t>
      </w:r>
      <w:r>
        <w:rPr>
          <w:rFonts w:ascii="Times New Roman" w:hAnsi="Times New Roman"/>
          <w:sz w:val="28"/>
        </w:rPr>
        <w:t>% опрошенных. Ну, а скорее не удовлетворены ценой услуги – 1</w:t>
      </w:r>
      <w:r>
        <w:rPr>
          <w:rFonts w:ascii="Times New Roman" w:hAnsi="Times New Roman"/>
          <w:sz w:val="28"/>
        </w:rPr>
        <w:t>8</w:t>
      </w:r>
      <w:r>
        <w:rPr>
          <w:rFonts w:ascii="Times New Roman" w:hAnsi="Times New Roman"/>
          <w:sz w:val="28"/>
        </w:rPr>
        <w:t xml:space="preserve">,0%, ее качеством – </w:t>
      </w:r>
      <w:r>
        <w:rPr>
          <w:rFonts w:ascii="Times New Roman" w:hAnsi="Times New Roman"/>
          <w:sz w:val="28"/>
        </w:rPr>
        <w:t>1</w:t>
      </w:r>
      <w:r>
        <w:rPr>
          <w:rFonts w:ascii="Times New Roman" w:hAnsi="Times New Roman"/>
          <w:sz w:val="28"/>
        </w:rPr>
        <w:t xml:space="preserve">5% и возможностью выбора – </w:t>
      </w:r>
      <w:r>
        <w:rPr>
          <w:rFonts w:ascii="Times New Roman" w:hAnsi="Times New Roman"/>
          <w:sz w:val="28"/>
        </w:rPr>
        <w:t>1</w:t>
      </w:r>
      <w:r>
        <w:rPr>
          <w:rFonts w:ascii="Times New Roman" w:hAnsi="Times New Roman"/>
          <w:sz w:val="28"/>
        </w:rPr>
        <w:t>0%. Неу</w:t>
      </w:r>
      <w:r>
        <w:rPr>
          <w:rFonts w:ascii="Times New Roman" w:hAnsi="Times New Roman"/>
          <w:sz w:val="28"/>
        </w:rPr>
        <w:t xml:space="preserve">довлетворенных возможностью выбора на рынке </w:t>
      </w:r>
      <w:r>
        <w:rPr>
          <w:rFonts w:ascii="Times New Roman" w:hAnsi="Times New Roman"/>
          <w:sz w:val="28"/>
        </w:rPr>
        <w:t>услуг дошкольного</w:t>
      </w:r>
      <w:r>
        <w:rPr>
          <w:rFonts w:ascii="Times New Roman" w:hAnsi="Times New Roman"/>
          <w:sz w:val="28"/>
        </w:rPr>
        <w:t xml:space="preserve"> </w:t>
      </w:r>
      <w:r>
        <w:rPr>
          <w:rFonts w:ascii="Times New Roman" w:hAnsi="Times New Roman"/>
          <w:sz w:val="28"/>
        </w:rPr>
        <w:t xml:space="preserve">образования </w:t>
      </w:r>
      <w:r>
        <w:rPr>
          <w:rFonts w:ascii="Times New Roman" w:hAnsi="Times New Roman"/>
          <w:sz w:val="28"/>
        </w:rPr>
        <w:t xml:space="preserve">оказалось лишь </w:t>
      </w:r>
      <w:r>
        <w:rPr>
          <w:rFonts w:ascii="Times New Roman" w:hAnsi="Times New Roman"/>
          <w:sz w:val="28"/>
        </w:rPr>
        <w:t>8</w:t>
      </w:r>
      <w:r>
        <w:rPr>
          <w:rFonts w:ascii="Times New Roman" w:hAnsi="Times New Roman"/>
          <w:sz w:val="28"/>
        </w:rPr>
        <w:t>% потребителей</w:t>
      </w:r>
      <w:r>
        <w:rPr>
          <w:rFonts w:ascii="Times New Roman" w:hAnsi="Times New Roman"/>
          <w:sz w:val="28"/>
        </w:rPr>
        <w:t>, качеством 1</w:t>
      </w:r>
      <w:r>
        <w:rPr>
          <w:rFonts w:ascii="Times New Roman" w:hAnsi="Times New Roman"/>
          <w:sz w:val="28"/>
        </w:rPr>
        <w:t>3</w:t>
      </w:r>
      <w:r>
        <w:rPr>
          <w:rFonts w:ascii="Times New Roman" w:hAnsi="Times New Roman"/>
          <w:sz w:val="28"/>
        </w:rPr>
        <w:t>%, а ценой – 15% опрошенных (рисунок 2.9.)</w:t>
      </w:r>
      <w:r>
        <w:rPr>
          <w:rFonts w:ascii="Times New Roman" w:hAnsi="Times New Roman"/>
          <w:sz w:val="28"/>
        </w:rPr>
        <w:t>.</w:t>
      </w:r>
      <w:r>
        <w:rPr>
          <w:rFonts w:ascii="Times New Roman" w:hAnsi="Times New Roman"/>
          <w:sz w:val="28"/>
        </w:rPr>
        <w:t xml:space="preserve"> </w:t>
      </w:r>
    </w:p>
    <w:p w14:paraId="86020000">
      <w:pPr>
        <w:spacing w:after="0"/>
        <w:ind/>
        <w:jc w:val="center"/>
        <w:rPr>
          <w:rFonts w:ascii="Times New Roman" w:hAnsi="Times New Roman"/>
          <w:b w:val="1"/>
          <w:sz w:val="28"/>
        </w:rPr>
      </w:pPr>
      <w:r>
        <w:rPr>
          <w:rFonts w:ascii="Times New Roman" w:hAnsi="Times New Roman"/>
          <w:b w:val="1"/>
          <w:sz w:val="28"/>
        </w:rPr>
        <w:t>Уровень цен</w:t>
      </w:r>
    </w:p>
    <w:p w14:paraId="87020000">
      <w:pPr>
        <w:spacing w:after="0"/>
        <w:ind/>
        <w:jc w:val="center"/>
        <w:rPr>
          <w:rFonts w:ascii="Times New Roman" w:hAnsi="Times New Roman"/>
          <w:b w:val="1"/>
          <w:sz w:val="28"/>
        </w:rPr>
      </w:pPr>
      <w:r>
        <w:rPr>
          <w:rFonts w:ascii="Times New Roman" w:hAnsi="Times New Roman"/>
          <w:b w:val="1"/>
          <w:sz w:val="28"/>
        </w:rPr>
        <w:drawing>
          <wp:inline>
            <wp:extent cx="4590415" cy="2477389"/>
            <wp:docPr hidden="false" id="50" name="Picture 50"/>
            <a:graphic>
              <a:graphicData uri="http://schemas.openxmlformats.org/drawingml/2006/picture">
                <pic:pic>
                  <pic:nvPicPr>
                    <pic:cNvPr hidden="false" id="49" name="Picture 49"/>
                    <pic:cNvPicPr preferRelativeResize="true"/>
                  </pic:nvPicPr>
                  <pic:blipFill>
                    <a:blip r:embed="rId28"/>
                    <a:srcRect b="0" l="0" r="0" t="0"/>
                    <a:stretch/>
                  </pic:blipFill>
                  <pic:spPr>
                    <a:xfrm flipH="false" flipV="false" rot="0">
                      <a:ext cx="4590415" cy="2477389"/>
                    </a:xfrm>
                    <a:prstGeom prst="rect"/>
                  </pic:spPr>
                </pic:pic>
              </a:graphicData>
            </a:graphic>
          </wp:inline>
        </w:drawing>
      </w:r>
    </w:p>
    <w:p w14:paraId="88020000">
      <w:pPr>
        <w:spacing w:after="0"/>
        <w:ind/>
        <w:jc w:val="center"/>
        <w:rPr>
          <w:rFonts w:ascii="Times New Roman" w:hAnsi="Times New Roman"/>
          <w:b w:val="1"/>
          <w:sz w:val="28"/>
        </w:rPr>
      </w:pPr>
      <w:r>
        <w:rPr>
          <w:rFonts w:ascii="Times New Roman" w:hAnsi="Times New Roman"/>
          <w:b w:val="1"/>
          <w:sz w:val="28"/>
        </w:rPr>
        <w:t>Качество</w:t>
      </w:r>
    </w:p>
    <w:p w14:paraId="89020000">
      <w:pPr>
        <w:spacing w:after="0"/>
        <w:ind/>
        <w:jc w:val="center"/>
        <w:rPr>
          <w:rFonts w:ascii="Times New Roman" w:hAnsi="Times New Roman"/>
          <w:sz w:val="28"/>
        </w:rPr>
      </w:pPr>
      <w:r>
        <w:rPr>
          <w:rFonts w:ascii="Times New Roman" w:hAnsi="Times New Roman"/>
          <w:sz w:val="28"/>
        </w:rPr>
        <w:drawing>
          <wp:inline>
            <wp:extent cx="4590415" cy="2238121"/>
            <wp:docPr hidden="false" id="52" name="Picture 52"/>
            <a:graphic>
              <a:graphicData uri="http://schemas.openxmlformats.org/drawingml/2006/picture">
                <pic:pic>
                  <pic:nvPicPr>
                    <pic:cNvPr hidden="false" id="51" name="Picture 51"/>
                    <pic:cNvPicPr preferRelativeResize="true"/>
                  </pic:nvPicPr>
                  <pic:blipFill>
                    <a:blip r:embed="rId29"/>
                    <a:srcRect b="0" l="0" r="0" t="0"/>
                    <a:stretch/>
                  </pic:blipFill>
                  <pic:spPr>
                    <a:xfrm flipH="false" flipV="false" rot="0">
                      <a:ext cx="4590415" cy="2238121"/>
                    </a:xfrm>
                    <a:prstGeom prst="rect"/>
                  </pic:spPr>
                </pic:pic>
              </a:graphicData>
            </a:graphic>
          </wp:inline>
        </w:drawing>
      </w:r>
    </w:p>
    <w:p w14:paraId="8A020000">
      <w:pPr>
        <w:spacing w:after="0"/>
        <w:ind/>
        <w:jc w:val="center"/>
        <w:rPr>
          <w:rFonts w:ascii="Times New Roman" w:hAnsi="Times New Roman"/>
          <w:b w:val="1"/>
          <w:sz w:val="28"/>
        </w:rPr>
      </w:pPr>
      <w:r>
        <w:rPr>
          <w:rFonts w:ascii="Times New Roman" w:hAnsi="Times New Roman"/>
          <w:b w:val="1"/>
          <w:sz w:val="28"/>
        </w:rPr>
        <w:t>Возможность выбора</w:t>
      </w:r>
    </w:p>
    <w:p w14:paraId="8B020000">
      <w:pPr>
        <w:spacing w:after="0"/>
        <w:ind/>
        <w:jc w:val="center"/>
        <w:rPr>
          <w:rFonts w:ascii="Times New Roman" w:hAnsi="Times New Roman"/>
          <w:sz w:val="28"/>
        </w:rPr>
      </w:pPr>
      <w:r>
        <w:rPr>
          <w:rFonts w:ascii="Times New Roman" w:hAnsi="Times New Roman"/>
          <w:sz w:val="28"/>
        </w:rPr>
        <w:drawing>
          <wp:inline>
            <wp:extent cx="4590415" cy="2361819"/>
            <wp:docPr hidden="false" id="54" name="Picture 54"/>
            <a:graphic>
              <a:graphicData uri="http://schemas.openxmlformats.org/drawingml/2006/picture">
                <pic:pic>
                  <pic:nvPicPr>
                    <pic:cNvPr hidden="false" id="53" name="Picture 53"/>
                    <pic:cNvPicPr preferRelativeResize="true"/>
                  </pic:nvPicPr>
                  <pic:blipFill>
                    <a:blip r:embed="rId30"/>
                    <a:srcRect b="0" l="0" r="0" t="0"/>
                    <a:stretch/>
                  </pic:blipFill>
                  <pic:spPr>
                    <a:xfrm flipH="false" flipV="false" rot="0">
                      <a:ext cx="4590415" cy="2361819"/>
                    </a:xfrm>
                    <a:prstGeom prst="rect"/>
                  </pic:spPr>
                </pic:pic>
              </a:graphicData>
            </a:graphic>
          </wp:inline>
        </w:drawing>
      </w:r>
    </w:p>
    <w:p w14:paraId="8C020000">
      <w:pPr>
        <w:spacing w:after="0"/>
        <w:ind/>
        <w:jc w:val="center"/>
        <w:rPr>
          <w:rFonts w:ascii="Times New Roman" w:hAnsi="Times New Roman"/>
          <w:sz w:val="20"/>
        </w:rPr>
      </w:pPr>
      <w:r>
        <w:rPr>
          <w:rFonts w:ascii="Times New Roman" w:hAnsi="Times New Roman"/>
          <w:sz w:val="20"/>
        </w:rPr>
        <w:t>Рисунок 2.9. Степень удовлетворенности потребителей характеристиками продукции на рынке услуг</w:t>
      </w:r>
      <w:r>
        <w:rPr>
          <w:rFonts w:ascii="Times New Roman" w:hAnsi="Times New Roman"/>
          <w:sz w:val="20"/>
        </w:rPr>
        <w:t xml:space="preserve"> дошкольного образования</w:t>
      </w:r>
      <w:r>
        <w:rPr>
          <w:rFonts w:ascii="Times New Roman" w:hAnsi="Times New Roman"/>
          <w:sz w:val="20"/>
        </w:rPr>
        <w:t>, % к опрошенным</w:t>
      </w:r>
    </w:p>
    <w:p w14:paraId="8D020000">
      <w:pPr>
        <w:spacing w:after="0"/>
        <w:ind/>
        <w:jc w:val="center"/>
        <w:rPr>
          <w:rFonts w:ascii="Times New Roman" w:hAnsi="Times New Roman"/>
          <w:sz w:val="28"/>
        </w:rPr>
      </w:pPr>
    </w:p>
    <w:p w14:paraId="8E020000">
      <w:pPr>
        <w:spacing w:after="0" w:line="240" w:lineRule="auto"/>
        <w:ind w:firstLine="709"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ходе опроса выявлено, </w:t>
      </w:r>
      <w:r>
        <w:rPr>
          <w:rFonts w:ascii="Times New Roman" w:hAnsi="Times New Roman"/>
          <w:sz w:val="28"/>
        </w:rPr>
        <w:t xml:space="preserve">что </w:t>
      </w:r>
      <w:r>
        <w:rPr>
          <w:rFonts w:ascii="Times New Roman" w:hAnsi="Times New Roman"/>
          <w:sz w:val="28"/>
        </w:rPr>
        <w:t>д</w:t>
      </w:r>
      <w:r>
        <w:rPr>
          <w:rFonts w:ascii="Times New Roman" w:hAnsi="Times New Roman"/>
          <w:sz w:val="28"/>
        </w:rPr>
        <w:t>ол</w:t>
      </w:r>
      <w:r>
        <w:rPr>
          <w:rFonts w:ascii="Times New Roman" w:hAnsi="Times New Roman"/>
          <w:sz w:val="28"/>
        </w:rPr>
        <w:t>я</w:t>
      </w:r>
      <w:r>
        <w:rPr>
          <w:rFonts w:ascii="Times New Roman" w:hAnsi="Times New Roman"/>
          <w:sz w:val="28"/>
        </w:rPr>
        <w:t xml:space="preserve"> респондентов, удовлетворенных ценовой политикой в разной степени</w:t>
      </w:r>
      <w:r>
        <w:rPr>
          <w:rFonts w:ascii="Times New Roman" w:hAnsi="Times New Roman"/>
          <w:sz w:val="28"/>
        </w:rPr>
        <w:t xml:space="preserve"> в 2021 году осталась на уровне 2020 года </w:t>
      </w:r>
      <w:r>
        <w:rPr>
          <w:rFonts w:ascii="Times New Roman" w:hAnsi="Times New Roman"/>
          <w:sz w:val="28"/>
        </w:rPr>
        <w:t>46%. Количество удовлетворенных уровнем цен остается ниже количества неудовлетворенных</w:t>
      </w:r>
      <w:r>
        <w:rPr>
          <w:rFonts w:ascii="Times New Roman" w:hAnsi="Times New Roman"/>
          <w:sz w:val="28"/>
        </w:rPr>
        <w:t xml:space="preserve"> уровнем цен. Данный факт во многом связан ростом уровня инфляции в стране в целом. </w:t>
      </w:r>
    </w:p>
    <w:p w14:paraId="8F020000">
      <w:pPr>
        <w:spacing w:after="0" w:line="240" w:lineRule="auto"/>
        <w:ind w:firstLine="709" w:left="0"/>
        <w:jc w:val="both"/>
        <w:rPr>
          <w:rFonts w:ascii="Times New Roman" w:hAnsi="Times New Roman"/>
          <w:sz w:val="28"/>
        </w:rPr>
      </w:pPr>
      <w:r>
        <w:rPr>
          <w:rFonts w:ascii="Times New Roman" w:hAnsi="Times New Roman"/>
          <w:sz w:val="28"/>
        </w:rPr>
        <w:t xml:space="preserve">Услуги дошкольного образования предоставляют </w:t>
      </w:r>
      <w:r>
        <w:rPr>
          <w:rFonts w:ascii="Times New Roman" w:hAnsi="Times New Roman"/>
          <w:sz w:val="28"/>
        </w:rPr>
        <w:t>42 образовательные организации различных типов и форм собственности, которые посещают 9604 человека, в том числе в возрасте от 1 года до 3 лет -1562 человека.</w:t>
      </w:r>
      <w:r>
        <w:rPr>
          <w:rFonts w:ascii="Times New Roman" w:hAnsi="Times New Roman"/>
          <w:sz w:val="28"/>
        </w:rPr>
        <w:t xml:space="preserve"> </w:t>
      </w:r>
    </w:p>
    <w:p w14:paraId="90020000">
      <w:pPr>
        <w:spacing w:after="0"/>
        <w:ind w:firstLine="708" w:left="0"/>
        <w:jc w:val="both"/>
        <w:rPr>
          <w:rFonts w:ascii="Times New Roman" w:hAnsi="Times New Roman"/>
          <w:sz w:val="12"/>
        </w:rPr>
      </w:pPr>
    </w:p>
    <w:p w14:paraId="91020000">
      <w:pPr>
        <w:spacing w:after="0"/>
        <w:ind/>
        <w:jc w:val="center"/>
        <w:rPr>
          <w:rFonts w:ascii="Times New Roman" w:hAnsi="Times New Roman"/>
          <w:b w:val="1"/>
          <w:sz w:val="28"/>
          <w:u w:val="single"/>
        </w:rPr>
      </w:pPr>
      <w:r>
        <w:rPr>
          <w:rFonts w:ascii="Times New Roman" w:hAnsi="Times New Roman"/>
          <w:b w:val="1"/>
          <w:sz w:val="28"/>
          <w:u w:val="single"/>
        </w:rPr>
        <w:t xml:space="preserve">2. Рынок услуг дополнительного образования детей </w:t>
      </w:r>
    </w:p>
    <w:p w14:paraId="92020000">
      <w:pPr>
        <w:spacing w:after="0"/>
        <w:ind/>
        <w:jc w:val="both"/>
        <w:rPr>
          <w:rFonts w:ascii="Times New Roman" w:hAnsi="Times New Roman"/>
          <w:sz w:val="10"/>
        </w:rPr>
      </w:pPr>
    </w:p>
    <w:p w14:paraId="93020000">
      <w:pPr>
        <w:spacing w:after="0"/>
        <w:ind w:firstLine="709" w:left="0"/>
        <w:jc w:val="both"/>
        <w:rPr>
          <w:rFonts w:ascii="Times New Roman" w:hAnsi="Times New Roman"/>
          <w:sz w:val="28"/>
        </w:rPr>
      </w:pPr>
      <w:r>
        <w:rPr>
          <w:rFonts w:ascii="Times New Roman" w:hAnsi="Times New Roman"/>
          <w:sz w:val="28"/>
        </w:rPr>
        <w:t>68</w:t>
      </w:r>
      <w:r>
        <w:rPr>
          <w:rFonts w:ascii="Times New Roman" w:hAnsi="Times New Roman"/>
          <w:sz w:val="28"/>
        </w:rPr>
        <w:t>%</w:t>
      </w:r>
      <w:r>
        <w:rPr>
          <w:rFonts w:ascii="Times New Roman" w:hAnsi="Times New Roman"/>
          <w:sz w:val="28"/>
        </w:rPr>
        <w:t xml:space="preserve"> от числа опрошенных</w:t>
      </w:r>
      <w:r>
        <w:rPr>
          <w:rFonts w:ascii="Times New Roman" w:hAnsi="Times New Roman"/>
          <w:sz w:val="28"/>
        </w:rPr>
        <w:t xml:space="preserve"> считают, что организаций, предоставляющих </w:t>
      </w:r>
      <w:r>
        <w:rPr>
          <w:rFonts w:ascii="Times New Roman" w:hAnsi="Times New Roman"/>
          <w:sz w:val="28"/>
        </w:rPr>
        <w:t>услуги дополнительного образования</w:t>
      </w:r>
      <w:r>
        <w:rPr>
          <w:rFonts w:ascii="Times New Roman" w:hAnsi="Times New Roman"/>
          <w:sz w:val="28"/>
        </w:rPr>
        <w:t xml:space="preserve"> </w:t>
      </w:r>
      <w:r>
        <w:rPr>
          <w:rFonts w:ascii="Times New Roman" w:hAnsi="Times New Roman"/>
          <w:sz w:val="28"/>
        </w:rPr>
        <w:t xml:space="preserve">детей </w:t>
      </w:r>
      <w:r>
        <w:rPr>
          <w:rFonts w:ascii="Times New Roman" w:hAnsi="Times New Roman"/>
          <w:sz w:val="28"/>
        </w:rPr>
        <w:t xml:space="preserve">на рынке города </w:t>
      </w:r>
      <w:r>
        <w:rPr>
          <w:rFonts w:ascii="Times New Roman" w:hAnsi="Times New Roman"/>
          <w:sz w:val="28"/>
        </w:rPr>
        <w:t>Волгодонска</w:t>
      </w:r>
      <w:r>
        <w:rPr>
          <w:rFonts w:ascii="Times New Roman" w:hAnsi="Times New Roman"/>
          <w:sz w:val="28"/>
        </w:rPr>
        <w:t xml:space="preserve"> </w:t>
      </w:r>
      <w:r>
        <w:rPr>
          <w:rFonts w:ascii="Times New Roman" w:hAnsi="Times New Roman"/>
          <w:sz w:val="28"/>
        </w:rPr>
        <w:t>достаточно</w:t>
      </w:r>
      <w:r>
        <w:rPr>
          <w:rFonts w:ascii="Times New Roman" w:hAnsi="Times New Roman"/>
          <w:sz w:val="28"/>
        </w:rPr>
        <w:t xml:space="preserve"> (рисунок 2.</w:t>
      </w:r>
      <w:r>
        <w:rPr>
          <w:rFonts w:ascii="Times New Roman" w:hAnsi="Times New Roman"/>
          <w:sz w:val="28"/>
        </w:rPr>
        <w:t>10</w:t>
      </w:r>
      <w:r>
        <w:rPr>
          <w:rFonts w:ascii="Times New Roman" w:hAnsi="Times New Roman"/>
          <w:sz w:val="28"/>
        </w:rPr>
        <w:t xml:space="preserve">.). </w:t>
      </w:r>
      <w:r>
        <w:rPr>
          <w:rFonts w:ascii="Times New Roman" w:hAnsi="Times New Roman"/>
          <w:sz w:val="28"/>
        </w:rPr>
        <w:t xml:space="preserve">При этом 26% респондентов считают, что </w:t>
      </w:r>
      <w:r>
        <w:rPr>
          <w:rFonts w:ascii="Times New Roman" w:hAnsi="Times New Roman"/>
          <w:sz w:val="28"/>
        </w:rPr>
        <w:t xml:space="preserve">на рынке </w:t>
      </w:r>
      <w:r>
        <w:rPr>
          <w:rFonts w:ascii="Times New Roman" w:hAnsi="Times New Roman"/>
          <w:sz w:val="28"/>
        </w:rPr>
        <w:t>услуги представлены в малом количестве</w:t>
      </w:r>
      <w:r>
        <w:rPr>
          <w:rFonts w:ascii="Times New Roman" w:hAnsi="Times New Roman"/>
          <w:sz w:val="28"/>
        </w:rPr>
        <w:t xml:space="preserve">, </w:t>
      </w: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опрошенных</w:t>
      </w:r>
      <w:r>
        <w:rPr>
          <w:rFonts w:ascii="Times New Roman" w:hAnsi="Times New Roman"/>
          <w:sz w:val="28"/>
        </w:rPr>
        <w:t xml:space="preserve"> посчитали,</w:t>
      </w:r>
      <w:r>
        <w:rPr>
          <w:rFonts w:ascii="Times New Roman" w:hAnsi="Times New Roman"/>
          <w:sz w:val="28"/>
        </w:rPr>
        <w:t xml:space="preserve"> что услуг не</w:t>
      </w:r>
      <w:r>
        <w:rPr>
          <w:rFonts w:ascii="Times New Roman" w:hAnsi="Times New Roman"/>
          <w:sz w:val="28"/>
        </w:rPr>
        <w:t>т</w:t>
      </w:r>
      <w:r>
        <w:rPr>
          <w:rFonts w:ascii="Times New Roman" w:hAnsi="Times New Roman"/>
          <w:sz w:val="28"/>
        </w:rPr>
        <w:t xml:space="preserve"> совсем</w:t>
      </w:r>
      <w:r>
        <w:rPr>
          <w:rFonts w:ascii="Times New Roman" w:hAnsi="Times New Roman"/>
          <w:sz w:val="28"/>
        </w:rPr>
        <w:t>, а 5% – их избыточно (много)</w:t>
      </w:r>
      <w:r>
        <w:rPr>
          <w:rFonts w:ascii="Times New Roman" w:hAnsi="Times New Roman"/>
          <w:sz w:val="28"/>
        </w:rPr>
        <w:t>.</w:t>
      </w:r>
    </w:p>
    <w:p w14:paraId="94020000">
      <w:pPr>
        <w:spacing w:after="0"/>
        <w:ind/>
        <w:rPr>
          <w:rFonts w:ascii="Times New Roman" w:hAnsi="Times New Roman"/>
          <w:b w:val="1"/>
          <w:sz w:val="28"/>
        </w:rPr>
      </w:pPr>
    </w:p>
    <w:p w14:paraId="95020000">
      <w:pPr>
        <w:spacing w:after="0"/>
        <w:ind/>
        <w:jc w:val="center"/>
        <w:rPr>
          <w:rFonts w:ascii="Times New Roman" w:hAnsi="Times New Roman"/>
          <w:sz w:val="28"/>
        </w:rPr>
      </w:pPr>
      <w:r>
        <w:rPr>
          <w:rFonts w:ascii="Times New Roman" w:hAnsi="Times New Roman"/>
          <w:sz w:val="28"/>
        </w:rPr>
        <w:drawing>
          <wp:inline>
            <wp:extent cx="4590415" cy="2749550"/>
            <wp:docPr hidden="false" id="56" name="Picture 56"/>
            <a:graphic>
              <a:graphicData uri="http://schemas.openxmlformats.org/drawingml/2006/picture">
                <pic:pic>
                  <pic:nvPicPr>
                    <pic:cNvPr hidden="false" id="55" name="Picture 55"/>
                    <pic:cNvPicPr preferRelativeResize="true"/>
                  </pic:nvPicPr>
                  <pic:blipFill>
                    <a:blip r:embed="rId31"/>
                    <a:srcRect b="0" l="0" r="0" t="0"/>
                    <a:stretch/>
                  </pic:blipFill>
                  <pic:spPr>
                    <a:xfrm flipH="false" flipV="false" rot="0">
                      <a:ext cx="4590415" cy="2749550"/>
                    </a:xfrm>
                    <a:prstGeom prst="rect"/>
                  </pic:spPr>
                </pic:pic>
              </a:graphicData>
            </a:graphic>
          </wp:inline>
        </w:drawing>
      </w:r>
    </w:p>
    <w:p w14:paraId="96020000">
      <w:pPr>
        <w:spacing w:after="0"/>
        <w:ind/>
        <w:jc w:val="center"/>
        <w:rPr>
          <w:rFonts w:ascii="Times New Roman" w:hAnsi="Times New Roman"/>
          <w:sz w:val="20"/>
        </w:rPr>
      </w:pPr>
      <w:r>
        <w:rPr>
          <w:rFonts w:ascii="Times New Roman" w:hAnsi="Times New Roman"/>
          <w:sz w:val="20"/>
        </w:rPr>
        <w:t xml:space="preserve">Рисунок 2.10. Количество организаций на рынке </w:t>
      </w:r>
      <w:r>
        <w:rPr>
          <w:rFonts w:ascii="Times New Roman" w:hAnsi="Times New Roman"/>
          <w:sz w:val="20"/>
        </w:rPr>
        <w:t xml:space="preserve">услуг </w:t>
      </w:r>
      <w:r>
        <w:rPr>
          <w:rFonts w:ascii="Times New Roman" w:hAnsi="Times New Roman"/>
          <w:sz w:val="20"/>
        </w:rPr>
        <w:t xml:space="preserve">дополнительного образования детей </w:t>
      </w:r>
      <w:r>
        <w:rPr>
          <w:rFonts w:ascii="Times New Roman" w:hAnsi="Times New Roman"/>
          <w:sz w:val="20"/>
        </w:rPr>
        <w:t>,</w:t>
      </w:r>
      <w:r>
        <w:rPr>
          <w:rFonts w:ascii="Times New Roman" w:hAnsi="Times New Roman"/>
          <w:sz w:val="20"/>
        </w:rPr>
        <w:t xml:space="preserve"> % к опрошенным</w:t>
      </w:r>
    </w:p>
    <w:p w14:paraId="97020000">
      <w:pPr>
        <w:spacing w:after="0"/>
        <w:ind/>
        <w:jc w:val="both"/>
        <w:rPr>
          <w:rFonts w:ascii="Times New Roman" w:hAnsi="Times New Roman"/>
          <w:sz w:val="28"/>
        </w:rPr>
      </w:pPr>
    </w:p>
    <w:p w14:paraId="98020000">
      <w:pPr>
        <w:spacing w:after="0"/>
        <w:ind w:firstLine="709" w:left="0"/>
        <w:jc w:val="both"/>
        <w:rPr>
          <w:rFonts w:ascii="Times New Roman" w:hAnsi="Times New Roman"/>
          <w:sz w:val="28"/>
        </w:rPr>
      </w:pPr>
      <w:r>
        <w:rPr>
          <w:rFonts w:ascii="Times New Roman" w:hAnsi="Times New Roman"/>
          <w:sz w:val="28"/>
        </w:rPr>
        <w:t xml:space="preserve">При проведении опроса 52% респондента посчитали, что в течение </w:t>
      </w:r>
      <w:r>
        <w:rPr>
          <w:rFonts w:ascii="Times New Roman" w:hAnsi="Times New Roman"/>
          <w:sz w:val="28"/>
        </w:rPr>
        <w:t xml:space="preserve">последних 3 лет рынок услуг дополнительного образования детей </w:t>
      </w:r>
      <w:r>
        <w:rPr>
          <w:rFonts w:ascii="Times New Roman" w:hAnsi="Times New Roman"/>
          <w:sz w:val="28"/>
        </w:rPr>
        <w:t xml:space="preserve">увеличился  </w:t>
      </w:r>
      <w:r>
        <w:rPr>
          <w:rFonts w:ascii="Times New Roman" w:hAnsi="Times New Roman"/>
          <w:sz w:val="28"/>
        </w:rPr>
        <w:t>(рисунок 2.</w:t>
      </w:r>
      <w:r>
        <w:rPr>
          <w:rFonts w:ascii="Times New Roman" w:hAnsi="Times New Roman"/>
          <w:sz w:val="28"/>
        </w:rPr>
        <w:t>11</w:t>
      </w:r>
      <w:r>
        <w:rPr>
          <w:rFonts w:ascii="Times New Roman" w:hAnsi="Times New Roman"/>
          <w:sz w:val="28"/>
        </w:rPr>
        <w:t>.)</w:t>
      </w:r>
      <w:r>
        <w:rPr>
          <w:rFonts w:ascii="Times New Roman" w:hAnsi="Times New Roman"/>
          <w:sz w:val="28"/>
        </w:rPr>
        <w:t>.</w:t>
      </w:r>
    </w:p>
    <w:p w14:paraId="99020000">
      <w:pPr>
        <w:spacing w:after="0"/>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 xml:space="preserve">ри этом </w:t>
      </w:r>
      <w:r>
        <w:rPr>
          <w:rFonts w:ascii="Times New Roman" w:hAnsi="Times New Roman"/>
          <w:sz w:val="28"/>
        </w:rPr>
        <w:t>21</w:t>
      </w:r>
      <w:r>
        <w:rPr>
          <w:rFonts w:ascii="Times New Roman" w:hAnsi="Times New Roman"/>
          <w:sz w:val="28"/>
        </w:rPr>
        <w:t>%</w:t>
      </w:r>
      <w:r>
        <w:rPr>
          <w:rFonts w:ascii="Times New Roman" w:hAnsi="Times New Roman"/>
          <w:sz w:val="28"/>
        </w:rPr>
        <w:t xml:space="preserve"> опрошенный</w:t>
      </w:r>
      <w:r>
        <w:rPr>
          <w:rFonts w:ascii="Times New Roman" w:hAnsi="Times New Roman"/>
          <w:sz w:val="28"/>
        </w:rPr>
        <w:t xml:space="preserve"> </w:t>
      </w:r>
      <w:r>
        <w:rPr>
          <w:rFonts w:ascii="Times New Roman" w:hAnsi="Times New Roman"/>
          <w:sz w:val="28"/>
        </w:rPr>
        <w:t xml:space="preserve">затруднились ответить об изменениях рынка, 26% посчитали, что он не изменился, а для 1% </w:t>
      </w:r>
      <w:r>
        <w:rPr>
          <w:rFonts w:ascii="Times New Roman" w:hAnsi="Times New Roman"/>
          <w:sz w:val="28"/>
        </w:rPr>
        <w:t>– ры</w:t>
      </w:r>
      <w:r>
        <w:rPr>
          <w:rFonts w:ascii="Times New Roman" w:hAnsi="Times New Roman"/>
          <w:sz w:val="28"/>
        </w:rPr>
        <w:t>н</w:t>
      </w:r>
      <w:r>
        <w:rPr>
          <w:rFonts w:ascii="Times New Roman" w:hAnsi="Times New Roman"/>
          <w:sz w:val="28"/>
        </w:rPr>
        <w:t xml:space="preserve">ок </w:t>
      </w:r>
      <w:r>
        <w:rPr>
          <w:rFonts w:ascii="Times New Roman" w:hAnsi="Times New Roman"/>
          <w:sz w:val="28"/>
        </w:rPr>
        <w:t xml:space="preserve">снизился. </w:t>
      </w:r>
    </w:p>
    <w:p w14:paraId="9A020000">
      <w:pPr>
        <w:spacing w:after="0"/>
        <w:ind w:firstLine="709" w:left="0"/>
        <w:jc w:val="both"/>
        <w:rPr>
          <w:rFonts w:ascii="Times New Roman" w:hAnsi="Times New Roman"/>
          <w:sz w:val="14"/>
        </w:rPr>
      </w:pPr>
    </w:p>
    <w:p w14:paraId="9B020000">
      <w:pPr>
        <w:spacing w:after="0"/>
        <w:ind/>
        <w:jc w:val="center"/>
        <w:rPr>
          <w:rFonts w:ascii="Times New Roman" w:hAnsi="Times New Roman"/>
          <w:sz w:val="28"/>
        </w:rPr>
      </w:pPr>
      <w:r>
        <w:rPr>
          <w:rFonts w:ascii="Times New Roman" w:hAnsi="Times New Roman"/>
          <w:sz w:val="28"/>
        </w:rPr>
        <w:drawing>
          <wp:inline>
            <wp:extent cx="4590415" cy="2749550"/>
            <wp:docPr hidden="false" id="58" name="Picture 58"/>
            <a:graphic>
              <a:graphicData uri="http://schemas.openxmlformats.org/drawingml/2006/picture">
                <pic:pic>
                  <pic:nvPicPr>
                    <pic:cNvPr hidden="false" id="57" name="Picture 57"/>
                    <pic:cNvPicPr preferRelativeResize="true"/>
                  </pic:nvPicPr>
                  <pic:blipFill>
                    <a:blip r:embed="rId32"/>
                    <a:srcRect b="0" l="0" r="0" t="0"/>
                    <a:stretch/>
                  </pic:blipFill>
                  <pic:spPr>
                    <a:xfrm flipH="false" flipV="false" rot="0">
                      <a:ext cx="4590415" cy="2749550"/>
                    </a:xfrm>
                    <a:prstGeom prst="rect"/>
                  </pic:spPr>
                </pic:pic>
              </a:graphicData>
            </a:graphic>
          </wp:inline>
        </w:drawing>
      </w:r>
    </w:p>
    <w:p w14:paraId="9C020000">
      <w:pPr>
        <w:spacing w:after="0"/>
        <w:ind/>
        <w:jc w:val="center"/>
        <w:rPr>
          <w:rFonts w:ascii="Times New Roman" w:hAnsi="Times New Roman"/>
          <w:b w:val="1"/>
          <w:sz w:val="20"/>
        </w:rPr>
      </w:pPr>
      <w:r>
        <w:rPr>
          <w:rFonts w:ascii="Times New Roman" w:hAnsi="Times New Roman"/>
          <w:sz w:val="20"/>
        </w:rPr>
        <w:t>Рисунок 2.</w:t>
      </w:r>
      <w:r>
        <w:rPr>
          <w:rFonts w:ascii="Times New Roman" w:hAnsi="Times New Roman"/>
          <w:sz w:val="20"/>
        </w:rPr>
        <w:t>11</w:t>
      </w:r>
      <w:r>
        <w:rPr>
          <w:rFonts w:ascii="Times New Roman" w:hAnsi="Times New Roman"/>
          <w:sz w:val="20"/>
        </w:rPr>
        <w:t>.</w:t>
      </w:r>
      <w:r>
        <w:rPr>
          <w:rFonts w:ascii="Times New Roman" w:hAnsi="Times New Roman"/>
          <w:b w:val="1"/>
          <w:sz w:val="20"/>
        </w:rPr>
        <w:t xml:space="preserve"> </w:t>
      </w:r>
      <w:r>
        <w:rPr>
          <w:rFonts w:ascii="Times New Roman" w:hAnsi="Times New Roman"/>
          <w:sz w:val="20"/>
        </w:rPr>
        <w:t>Изменение количества субъектов, предоставляющих услуг</w:t>
      </w:r>
      <w:r>
        <w:rPr>
          <w:rFonts w:ascii="Times New Roman" w:hAnsi="Times New Roman"/>
          <w:sz w:val="20"/>
        </w:rPr>
        <w:t xml:space="preserve">и </w:t>
      </w:r>
      <w:r>
        <w:rPr>
          <w:rFonts w:ascii="Times New Roman" w:hAnsi="Times New Roman"/>
          <w:sz w:val="20"/>
        </w:rPr>
        <w:t xml:space="preserve">дополнительного образования детей </w:t>
      </w:r>
      <w:r>
        <w:rPr>
          <w:rFonts w:ascii="Times New Roman" w:hAnsi="Times New Roman"/>
          <w:sz w:val="20"/>
        </w:rPr>
        <w:t>в течение последних 3 лет, % к опрошенным</w:t>
      </w:r>
    </w:p>
    <w:p w14:paraId="9D020000">
      <w:pPr>
        <w:spacing w:after="0"/>
        <w:ind/>
        <w:jc w:val="center"/>
        <w:rPr>
          <w:rFonts w:ascii="Times New Roman" w:hAnsi="Times New Roman"/>
          <w:b w:val="1"/>
          <w:sz w:val="28"/>
        </w:rPr>
      </w:pPr>
    </w:p>
    <w:p w14:paraId="9E020000">
      <w:pPr>
        <w:spacing w:after="0" w:line="240" w:lineRule="auto"/>
        <w:ind w:firstLine="709" w:left="0"/>
        <w:jc w:val="both"/>
        <w:rPr>
          <w:rFonts w:ascii="Times New Roman" w:hAnsi="Times New Roman"/>
          <w:sz w:val="28"/>
        </w:rPr>
      </w:pPr>
      <w:r>
        <w:rPr>
          <w:rFonts w:ascii="Times New Roman" w:hAnsi="Times New Roman"/>
          <w:sz w:val="28"/>
        </w:rPr>
        <w:t>Уровнем цен, к</w:t>
      </w:r>
      <w:r>
        <w:rPr>
          <w:rFonts w:ascii="Times New Roman" w:hAnsi="Times New Roman"/>
          <w:sz w:val="28"/>
        </w:rPr>
        <w:t xml:space="preserve">ачеством и возможностью выбора услуг в той или иной мере оказались </w:t>
      </w:r>
      <w:r>
        <w:rPr>
          <w:rFonts w:ascii="Times New Roman" w:hAnsi="Times New Roman"/>
          <w:sz w:val="28"/>
        </w:rPr>
        <w:t xml:space="preserve">скорее </w:t>
      </w:r>
      <w:r>
        <w:rPr>
          <w:rFonts w:ascii="Times New Roman" w:hAnsi="Times New Roman"/>
          <w:sz w:val="28"/>
        </w:rPr>
        <w:t xml:space="preserve">удовлетворены </w:t>
      </w:r>
      <w:r>
        <w:rPr>
          <w:rFonts w:ascii="Times New Roman" w:hAnsi="Times New Roman"/>
          <w:sz w:val="28"/>
        </w:rPr>
        <w:t>32</w:t>
      </w:r>
      <w:r>
        <w:rPr>
          <w:rFonts w:ascii="Times New Roman" w:hAnsi="Times New Roman"/>
          <w:sz w:val="28"/>
        </w:rPr>
        <w:t>%</w:t>
      </w:r>
      <w:r>
        <w:rPr>
          <w:rFonts w:ascii="Times New Roman" w:hAnsi="Times New Roman"/>
          <w:sz w:val="28"/>
        </w:rPr>
        <w:t>, 36%</w:t>
      </w:r>
      <w:r>
        <w:rPr>
          <w:rFonts w:ascii="Times New Roman" w:hAnsi="Times New Roman"/>
          <w:sz w:val="28"/>
        </w:rPr>
        <w:t xml:space="preserve"> и </w:t>
      </w:r>
      <w:r>
        <w:rPr>
          <w:rFonts w:ascii="Times New Roman" w:hAnsi="Times New Roman"/>
          <w:sz w:val="28"/>
        </w:rPr>
        <w:t>44</w:t>
      </w:r>
      <w:r>
        <w:rPr>
          <w:rFonts w:ascii="Times New Roman" w:hAnsi="Times New Roman"/>
          <w:sz w:val="28"/>
        </w:rPr>
        <w:t xml:space="preserve">% опрошенных соответственно </w:t>
      </w:r>
      <w:r>
        <w:rPr>
          <w:rFonts w:ascii="Times New Roman" w:hAnsi="Times New Roman"/>
          <w:sz w:val="28"/>
        </w:rPr>
        <w:t>(рисунок 2.12.).</w:t>
      </w:r>
    </w:p>
    <w:p w14:paraId="9F020000">
      <w:pPr>
        <w:spacing w:after="0" w:line="240" w:lineRule="auto"/>
        <w:ind w:firstLine="709" w:left="0"/>
        <w:jc w:val="both"/>
        <w:rPr>
          <w:rFonts w:ascii="Times New Roman" w:hAnsi="Times New Roman"/>
          <w:sz w:val="28"/>
        </w:rPr>
      </w:pPr>
      <w:r>
        <w:rPr>
          <w:rFonts w:ascii="Times New Roman" w:hAnsi="Times New Roman"/>
          <w:sz w:val="28"/>
        </w:rPr>
        <w:t>19</w:t>
      </w:r>
      <w:r>
        <w:rPr>
          <w:rFonts w:ascii="Times New Roman" w:hAnsi="Times New Roman"/>
          <w:sz w:val="28"/>
        </w:rPr>
        <w:t xml:space="preserve">% респондентов удовлетворены уровнем цен на рынке </w:t>
      </w:r>
      <w:r>
        <w:rPr>
          <w:rFonts w:ascii="Times New Roman" w:hAnsi="Times New Roman"/>
          <w:sz w:val="28"/>
        </w:rPr>
        <w:t xml:space="preserve">услуг </w:t>
      </w:r>
      <w:r>
        <w:rPr>
          <w:rFonts w:ascii="Times New Roman" w:hAnsi="Times New Roman"/>
          <w:sz w:val="28"/>
        </w:rPr>
        <w:t>дополнительного образования детей</w:t>
      </w:r>
      <w:r>
        <w:rPr>
          <w:rFonts w:ascii="Times New Roman" w:hAnsi="Times New Roman"/>
          <w:sz w:val="28"/>
        </w:rPr>
        <w:t>,</w:t>
      </w:r>
      <w:r>
        <w:rPr>
          <w:rFonts w:ascii="Times New Roman" w:hAnsi="Times New Roman"/>
          <w:sz w:val="28"/>
        </w:rPr>
        <w:t xml:space="preserve"> </w:t>
      </w:r>
      <w:r>
        <w:rPr>
          <w:rFonts w:ascii="Times New Roman" w:hAnsi="Times New Roman"/>
          <w:sz w:val="28"/>
        </w:rPr>
        <w:t>возможностью выбора – 29%, качеством – 28% опрошенных.</w:t>
      </w:r>
    </w:p>
    <w:p w14:paraId="A0020000">
      <w:pPr>
        <w:spacing w:after="0" w:line="240" w:lineRule="auto"/>
        <w:ind w:firstLine="709" w:left="0"/>
        <w:jc w:val="both"/>
        <w:rPr>
          <w:rFonts w:ascii="Times New Roman" w:hAnsi="Times New Roman"/>
          <w:sz w:val="28"/>
        </w:rPr>
      </w:pPr>
      <w:r>
        <w:rPr>
          <w:rFonts w:ascii="Times New Roman" w:hAnsi="Times New Roman"/>
          <w:sz w:val="28"/>
        </w:rPr>
        <w:t xml:space="preserve">Затруднились ответить по уровню цен – 23%,возможностью выбора и качеством услуг 22% и 17% опрощенных. </w:t>
      </w:r>
    </w:p>
    <w:p w14:paraId="A1020000">
      <w:pPr>
        <w:spacing w:after="0" w:line="240" w:lineRule="auto"/>
        <w:ind w:firstLine="709" w:left="0"/>
        <w:jc w:val="both"/>
        <w:rPr>
          <w:rFonts w:ascii="Times New Roman" w:hAnsi="Times New Roman"/>
          <w:sz w:val="28"/>
        </w:rPr>
      </w:pPr>
      <w:r>
        <w:rPr>
          <w:rFonts w:ascii="Times New Roman" w:hAnsi="Times New Roman"/>
          <w:sz w:val="28"/>
        </w:rPr>
        <w:t xml:space="preserve">Скорее не удовлетворены ценой услуги – 16 %, ее качеством – 10% и возможностью выбора – 2%. </w:t>
      </w:r>
    </w:p>
    <w:p w14:paraId="A2020000">
      <w:pPr>
        <w:spacing w:after="0" w:line="240" w:lineRule="auto"/>
        <w:ind w:firstLine="709" w:left="0"/>
        <w:jc w:val="both"/>
        <w:rPr>
          <w:rFonts w:ascii="Times New Roman" w:hAnsi="Times New Roman"/>
          <w:sz w:val="28"/>
        </w:rPr>
      </w:pPr>
      <w:r>
        <w:rPr>
          <w:rFonts w:ascii="Times New Roman" w:hAnsi="Times New Roman"/>
          <w:sz w:val="28"/>
        </w:rPr>
        <w:t>Неу</w:t>
      </w:r>
      <w:r>
        <w:rPr>
          <w:rFonts w:ascii="Times New Roman" w:hAnsi="Times New Roman"/>
          <w:sz w:val="28"/>
        </w:rPr>
        <w:t xml:space="preserve">довлетворенных возможностью выбора на рынке </w:t>
      </w:r>
      <w:r>
        <w:rPr>
          <w:rFonts w:ascii="Times New Roman" w:hAnsi="Times New Roman"/>
          <w:sz w:val="28"/>
        </w:rPr>
        <w:t xml:space="preserve">услуг </w:t>
      </w:r>
      <w:r>
        <w:rPr>
          <w:rFonts w:ascii="Times New Roman" w:hAnsi="Times New Roman"/>
          <w:sz w:val="28"/>
        </w:rPr>
        <w:t>дополнительного образования детей</w:t>
      </w:r>
      <w:r>
        <w:rPr>
          <w:rFonts w:ascii="Times New Roman" w:hAnsi="Times New Roman"/>
          <w:sz w:val="28"/>
        </w:rPr>
        <w:t xml:space="preserve"> </w:t>
      </w:r>
      <w:r>
        <w:rPr>
          <w:rFonts w:ascii="Times New Roman" w:hAnsi="Times New Roman"/>
          <w:sz w:val="28"/>
        </w:rPr>
        <w:t>оказалось лишь</w:t>
      </w:r>
      <w:r>
        <w:rPr>
          <w:rFonts w:ascii="Times New Roman" w:hAnsi="Times New Roman"/>
          <w:sz w:val="28"/>
        </w:rPr>
        <w:t xml:space="preserve"> 2</w:t>
      </w:r>
      <w:r>
        <w:rPr>
          <w:rFonts w:ascii="Times New Roman" w:hAnsi="Times New Roman"/>
          <w:sz w:val="28"/>
        </w:rPr>
        <w:t>% потребителей</w:t>
      </w:r>
      <w:r>
        <w:rPr>
          <w:rFonts w:ascii="Times New Roman" w:hAnsi="Times New Roman"/>
          <w:sz w:val="28"/>
        </w:rPr>
        <w:t>, качеством – 2%, а ценой – 10% опрошенных</w:t>
      </w:r>
      <w:r>
        <w:rPr>
          <w:rFonts w:ascii="Times New Roman" w:hAnsi="Times New Roman"/>
          <w:sz w:val="28"/>
        </w:rPr>
        <w:t>.</w:t>
      </w:r>
      <w:r>
        <w:rPr>
          <w:rFonts w:ascii="Times New Roman" w:hAnsi="Times New Roman"/>
          <w:sz w:val="28"/>
        </w:rPr>
        <w:t xml:space="preserve"> </w:t>
      </w:r>
    </w:p>
    <w:p w14:paraId="A3020000">
      <w:pPr>
        <w:tabs>
          <w:tab w:leader="none" w:pos="1772" w:val="left"/>
        </w:tabs>
        <w:spacing w:after="0"/>
        <w:ind/>
        <w:jc w:val="center"/>
        <w:rPr>
          <w:rFonts w:ascii="Times New Roman" w:hAnsi="Times New Roman"/>
          <w:b w:val="1"/>
          <w:sz w:val="28"/>
        </w:rPr>
      </w:pPr>
      <w:r>
        <w:rPr>
          <w:rFonts w:ascii="Times New Roman" w:hAnsi="Times New Roman"/>
          <w:b w:val="1"/>
          <w:sz w:val="28"/>
        </w:rPr>
        <w:t>Уровень цен</w:t>
      </w:r>
    </w:p>
    <w:p w14:paraId="A4020000">
      <w:pPr>
        <w:spacing w:after="0"/>
        <w:ind/>
        <w:jc w:val="center"/>
        <w:rPr>
          <w:rFonts w:ascii="Times New Roman" w:hAnsi="Times New Roman"/>
          <w:b w:val="1"/>
          <w:sz w:val="28"/>
        </w:rPr>
      </w:pPr>
      <w:r>
        <w:rPr>
          <w:rFonts w:ascii="Times New Roman" w:hAnsi="Times New Roman"/>
          <w:b w:val="1"/>
          <w:sz w:val="28"/>
        </w:rPr>
        <w:drawing>
          <wp:inline>
            <wp:extent cx="4695952" cy="2752344"/>
            <wp:docPr hidden="false" id="60" name="Picture 60"/>
            <a:graphic>
              <a:graphicData uri="http://schemas.openxmlformats.org/drawingml/2006/picture">
                <pic:pic>
                  <pic:nvPicPr>
                    <pic:cNvPr hidden="false" id="59" name="Picture 59"/>
                    <pic:cNvPicPr preferRelativeResize="true"/>
                  </pic:nvPicPr>
                  <pic:blipFill>
                    <a:blip r:embed="rId33"/>
                    <a:srcRect b="0" l="0" r="0" t="0"/>
                    <a:stretch/>
                  </pic:blipFill>
                  <pic:spPr>
                    <a:xfrm flipH="false" flipV="false" rot="0">
                      <a:ext cx="4695952" cy="2752344"/>
                    </a:xfrm>
                    <a:prstGeom prst="rect"/>
                  </pic:spPr>
                </pic:pic>
              </a:graphicData>
            </a:graphic>
          </wp:inline>
        </w:drawing>
      </w:r>
    </w:p>
    <w:p w14:paraId="A5020000">
      <w:pPr>
        <w:spacing w:after="0"/>
        <w:ind/>
        <w:jc w:val="center"/>
        <w:rPr>
          <w:rFonts w:ascii="Times New Roman" w:hAnsi="Times New Roman"/>
          <w:b w:val="1"/>
          <w:sz w:val="28"/>
        </w:rPr>
      </w:pPr>
      <w:r>
        <w:rPr>
          <w:rFonts w:ascii="Times New Roman" w:hAnsi="Times New Roman"/>
          <w:b w:val="1"/>
          <w:sz w:val="28"/>
        </w:rPr>
        <w:t>Качество</w:t>
      </w:r>
    </w:p>
    <w:p w14:paraId="A6020000">
      <w:pPr>
        <w:spacing w:after="0"/>
        <w:ind w:firstLine="1134" w:left="0"/>
        <w:jc w:val="both"/>
        <w:rPr>
          <w:rFonts w:ascii="Times New Roman" w:hAnsi="Times New Roman"/>
          <w:sz w:val="28"/>
        </w:rPr>
      </w:pPr>
      <w:r>
        <w:rPr>
          <w:rFonts w:ascii="Times New Roman" w:hAnsi="Times New Roman"/>
          <w:sz w:val="28"/>
        </w:rPr>
        <w:drawing>
          <wp:inline>
            <wp:extent cx="4668393" cy="2249170"/>
            <wp:docPr hidden="false" id="62" name="Picture 62"/>
            <a:graphic>
              <a:graphicData uri="http://schemas.openxmlformats.org/drawingml/2006/picture">
                <pic:pic>
                  <pic:nvPicPr>
                    <pic:cNvPr hidden="false" id="61" name="Picture 61"/>
                    <pic:cNvPicPr preferRelativeResize="true"/>
                  </pic:nvPicPr>
                  <pic:blipFill>
                    <a:blip r:embed="rId34"/>
                    <a:srcRect b="0" l="0" r="0" t="0"/>
                    <a:stretch/>
                  </pic:blipFill>
                  <pic:spPr>
                    <a:xfrm flipH="false" flipV="false" rot="0">
                      <a:ext cx="4668393" cy="2249170"/>
                    </a:xfrm>
                    <a:prstGeom prst="rect"/>
                  </pic:spPr>
                </pic:pic>
              </a:graphicData>
            </a:graphic>
          </wp:inline>
        </w:drawing>
      </w:r>
    </w:p>
    <w:p w14:paraId="A7020000">
      <w:pPr>
        <w:spacing w:after="0"/>
        <w:ind/>
        <w:jc w:val="center"/>
        <w:rPr>
          <w:rFonts w:ascii="Times New Roman" w:hAnsi="Times New Roman"/>
          <w:b w:val="1"/>
          <w:sz w:val="28"/>
        </w:rPr>
      </w:pPr>
      <w:r>
        <w:rPr>
          <w:rFonts w:ascii="Times New Roman" w:hAnsi="Times New Roman"/>
          <w:b w:val="1"/>
          <w:sz w:val="28"/>
        </w:rPr>
        <w:t>Возможность выбора</w:t>
      </w:r>
    </w:p>
    <w:p w14:paraId="A8020000">
      <w:pPr>
        <w:spacing w:after="0"/>
        <w:ind/>
        <w:jc w:val="center"/>
        <w:rPr>
          <w:rFonts w:ascii="Times New Roman" w:hAnsi="Times New Roman"/>
          <w:sz w:val="28"/>
        </w:rPr>
      </w:pPr>
      <w:r>
        <w:rPr>
          <w:rFonts w:ascii="Times New Roman" w:hAnsi="Times New Roman"/>
          <w:sz w:val="28"/>
        </w:rPr>
        <w:drawing>
          <wp:inline>
            <wp:extent cx="4590415" cy="2334387"/>
            <wp:docPr hidden="false" id="64" name="Picture 64"/>
            <a:graphic>
              <a:graphicData uri="http://schemas.openxmlformats.org/drawingml/2006/picture">
                <pic:pic>
                  <pic:nvPicPr>
                    <pic:cNvPr hidden="false" id="63" name="Picture 63"/>
                    <pic:cNvPicPr preferRelativeResize="true"/>
                  </pic:nvPicPr>
                  <pic:blipFill>
                    <a:blip r:embed="rId35"/>
                    <a:srcRect b="0" l="0" r="0" t="0"/>
                    <a:stretch/>
                  </pic:blipFill>
                  <pic:spPr>
                    <a:xfrm flipH="false" flipV="false" rot="0">
                      <a:ext cx="4590415" cy="2334387"/>
                    </a:xfrm>
                    <a:prstGeom prst="rect"/>
                  </pic:spPr>
                </pic:pic>
              </a:graphicData>
            </a:graphic>
          </wp:inline>
        </w:drawing>
      </w:r>
    </w:p>
    <w:p w14:paraId="A902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12</w:t>
      </w:r>
      <w:r>
        <w:rPr>
          <w:rFonts w:ascii="Times New Roman" w:hAnsi="Times New Roman"/>
          <w:sz w:val="20"/>
        </w:rPr>
        <w:t>. Степень удовлетворенности потребителей характеристиками продукции на рынке услуг</w:t>
      </w:r>
      <w:r>
        <w:rPr>
          <w:rFonts w:ascii="Times New Roman" w:hAnsi="Times New Roman"/>
          <w:sz w:val="20"/>
        </w:rPr>
        <w:t xml:space="preserve"> </w:t>
      </w:r>
      <w:r>
        <w:rPr>
          <w:rFonts w:ascii="Times New Roman" w:hAnsi="Times New Roman"/>
          <w:sz w:val="20"/>
        </w:rPr>
        <w:t xml:space="preserve">дополнительного образования детей </w:t>
      </w:r>
      <w:r>
        <w:rPr>
          <w:rFonts w:ascii="Times New Roman" w:hAnsi="Times New Roman"/>
          <w:sz w:val="20"/>
        </w:rPr>
        <w:t>% к опрошенным</w:t>
      </w:r>
    </w:p>
    <w:p w14:paraId="AA020000">
      <w:pPr>
        <w:spacing w:after="0"/>
        <w:ind/>
        <w:jc w:val="center"/>
        <w:rPr>
          <w:rFonts w:ascii="Times New Roman" w:hAnsi="Times New Roman"/>
          <w:sz w:val="28"/>
        </w:rPr>
      </w:pPr>
    </w:p>
    <w:p w14:paraId="AB020000">
      <w:pPr>
        <w:spacing w:after="0"/>
        <w:ind w:firstLine="709" w:left="0"/>
        <w:jc w:val="both"/>
        <w:rPr>
          <w:rFonts w:ascii="Times New Roman" w:hAnsi="Times New Roman"/>
          <w:sz w:val="28"/>
        </w:rPr>
      </w:pPr>
      <w:r>
        <w:rPr>
          <w:rFonts w:ascii="Times New Roman" w:hAnsi="Times New Roman"/>
          <w:sz w:val="28"/>
        </w:rPr>
        <w:t>В организациях дополнительного образования обучается</w:t>
      </w:r>
      <w:r>
        <w:rPr>
          <w:rFonts w:ascii="Times New Roman" w:hAnsi="Times New Roman"/>
          <w:sz w:val="28"/>
        </w:rPr>
        <w:t xml:space="preserve"> свыше 20 тыс. человек из них</w:t>
      </w:r>
      <w:r>
        <w:rPr>
          <w:rFonts w:ascii="Times New Roman" w:hAnsi="Times New Roman"/>
          <w:sz w:val="28"/>
        </w:rPr>
        <w:t xml:space="preserve"> более 10,4 тысяч воспитанников, 4764 человека заняты в кружках, творческих и интеллектуальных объединениях и секциях во внеурочное время. Дополнительное образование детей осуществляется по различным направлениям: музыкальное, художественное, спортивное, общеразвивающее, туристко-краеведческое, естественнонаучное, социально-педагогическое, техническое.</w:t>
      </w:r>
    </w:p>
    <w:p w14:paraId="AC020000">
      <w:pPr>
        <w:spacing w:after="0"/>
        <w:ind w:firstLine="709" w:left="0"/>
        <w:jc w:val="both"/>
        <w:rPr>
          <w:rFonts w:ascii="Times New Roman" w:hAnsi="Times New Roman"/>
          <w:sz w:val="28"/>
        </w:rPr>
      </w:pPr>
      <w:r>
        <w:rPr>
          <w:rFonts w:ascii="Times New Roman" w:hAnsi="Times New Roman"/>
          <w:sz w:val="28"/>
        </w:rPr>
        <w:t>Опрос показал, что большая половина респондентов отметила, что данного рынка в городе достаточно</w:t>
      </w:r>
      <w:r>
        <w:rPr>
          <w:rFonts w:ascii="Times New Roman" w:hAnsi="Times New Roman"/>
          <w:sz w:val="28"/>
        </w:rPr>
        <w:t>.</w:t>
      </w:r>
    </w:p>
    <w:p w14:paraId="AD020000">
      <w:pPr>
        <w:spacing w:after="0"/>
        <w:ind/>
        <w:jc w:val="both"/>
        <w:rPr>
          <w:rFonts w:ascii="Times New Roman" w:hAnsi="Times New Roman"/>
          <w:sz w:val="28"/>
        </w:rPr>
      </w:pPr>
    </w:p>
    <w:p w14:paraId="AE020000">
      <w:pPr>
        <w:spacing w:after="0"/>
        <w:ind/>
        <w:jc w:val="center"/>
        <w:rPr>
          <w:rFonts w:ascii="Times New Roman" w:hAnsi="Times New Roman"/>
          <w:b w:val="1"/>
          <w:sz w:val="28"/>
          <w:u w:val="single"/>
        </w:rPr>
      </w:pPr>
      <w:r>
        <w:rPr>
          <w:rFonts w:ascii="Times New Roman" w:hAnsi="Times New Roman"/>
          <w:b w:val="1"/>
          <w:sz w:val="28"/>
          <w:u w:val="single"/>
        </w:rPr>
        <w:t>3</w:t>
      </w:r>
      <w:r>
        <w:rPr>
          <w:rFonts w:ascii="Times New Roman" w:hAnsi="Times New Roman"/>
          <w:b w:val="1"/>
          <w:sz w:val="28"/>
          <w:u w:val="single"/>
        </w:rPr>
        <w:t>. Рынок медицинских услуг</w:t>
      </w:r>
    </w:p>
    <w:p w14:paraId="AF020000">
      <w:pPr>
        <w:spacing w:after="0"/>
        <w:ind w:firstLine="709" w:left="0"/>
        <w:jc w:val="both"/>
        <w:rPr>
          <w:rFonts w:ascii="Times New Roman" w:hAnsi="Times New Roman"/>
          <w:b w:val="1"/>
          <w:sz w:val="28"/>
          <w:u w:val="single"/>
        </w:rPr>
      </w:pPr>
    </w:p>
    <w:p w14:paraId="B0020000">
      <w:pPr>
        <w:spacing w:after="0"/>
        <w:ind w:firstLine="709" w:left="0"/>
        <w:jc w:val="both"/>
        <w:rPr>
          <w:rFonts w:ascii="Times New Roman" w:hAnsi="Times New Roman"/>
          <w:sz w:val="28"/>
        </w:rPr>
      </w:pPr>
      <w:r>
        <w:rPr>
          <w:rFonts w:ascii="Times New Roman" w:hAnsi="Times New Roman"/>
          <w:sz w:val="28"/>
        </w:rPr>
        <w:t xml:space="preserve">Большая часть </w:t>
      </w:r>
      <w:r>
        <w:rPr>
          <w:rFonts w:ascii="Times New Roman" w:hAnsi="Times New Roman"/>
          <w:sz w:val="28"/>
        </w:rPr>
        <w:t>опрошенных (</w:t>
      </w:r>
      <w:r>
        <w:rPr>
          <w:rFonts w:ascii="Times New Roman" w:hAnsi="Times New Roman"/>
          <w:sz w:val="28"/>
        </w:rPr>
        <w:t>59</w:t>
      </w:r>
      <w:r>
        <w:rPr>
          <w:rFonts w:ascii="Times New Roman" w:hAnsi="Times New Roman"/>
          <w:sz w:val="28"/>
        </w:rPr>
        <w:t xml:space="preserve">%) считают, что организаций, предоставляющих медицинские услуги на рынке города </w:t>
      </w:r>
      <w:r>
        <w:rPr>
          <w:rFonts w:ascii="Times New Roman" w:hAnsi="Times New Roman"/>
          <w:sz w:val="28"/>
        </w:rPr>
        <w:t>Волгодонска достаточно</w:t>
      </w:r>
      <w:r>
        <w:rPr>
          <w:rFonts w:ascii="Times New Roman" w:hAnsi="Times New Roman"/>
          <w:sz w:val="28"/>
        </w:rPr>
        <w:t xml:space="preserve"> (рисунок 2.</w:t>
      </w:r>
      <w:r>
        <w:rPr>
          <w:rFonts w:ascii="Times New Roman" w:hAnsi="Times New Roman"/>
          <w:sz w:val="28"/>
        </w:rPr>
        <w:t>13</w:t>
      </w:r>
      <w:r>
        <w:rPr>
          <w:rFonts w:ascii="Times New Roman" w:hAnsi="Times New Roman"/>
          <w:sz w:val="28"/>
        </w:rPr>
        <w:t xml:space="preserve">.). Не согласны с этим утверждением </w:t>
      </w:r>
      <w:r>
        <w:rPr>
          <w:rFonts w:ascii="Times New Roman" w:hAnsi="Times New Roman"/>
          <w:sz w:val="28"/>
        </w:rPr>
        <w:t xml:space="preserve">38%, </w:t>
      </w:r>
      <w:r>
        <w:rPr>
          <w:rFonts w:ascii="Times New Roman" w:hAnsi="Times New Roman"/>
          <w:sz w:val="28"/>
        </w:rPr>
        <w:t>полага</w:t>
      </w:r>
      <w:r>
        <w:rPr>
          <w:rFonts w:ascii="Times New Roman" w:hAnsi="Times New Roman"/>
          <w:sz w:val="28"/>
        </w:rPr>
        <w:t>ют</w:t>
      </w:r>
      <w:r>
        <w:rPr>
          <w:rFonts w:ascii="Times New Roman" w:hAnsi="Times New Roman"/>
          <w:sz w:val="28"/>
        </w:rPr>
        <w:t xml:space="preserve">, что </w:t>
      </w:r>
      <w:r>
        <w:rPr>
          <w:rFonts w:ascii="Times New Roman" w:hAnsi="Times New Roman"/>
          <w:sz w:val="28"/>
        </w:rPr>
        <w:t>таких организаций избыточно (много) 3 %</w:t>
      </w:r>
      <w:r>
        <w:rPr>
          <w:rFonts w:ascii="Times New Roman" w:hAnsi="Times New Roman"/>
          <w:sz w:val="28"/>
        </w:rPr>
        <w:t>.</w:t>
      </w:r>
      <w:r>
        <w:rPr>
          <w:rFonts w:ascii="Times New Roman" w:hAnsi="Times New Roman"/>
          <w:sz w:val="28"/>
        </w:rPr>
        <w:t xml:space="preserve"> Респонденты, которые считают, что организаций, </w:t>
      </w:r>
      <w:r>
        <w:rPr>
          <w:rFonts w:ascii="Times New Roman" w:hAnsi="Times New Roman"/>
          <w:sz w:val="28"/>
        </w:rPr>
        <w:t>предоставляющих медицинские услуги на рынке</w:t>
      </w:r>
      <w:r>
        <w:rPr>
          <w:rFonts w:ascii="Times New Roman" w:hAnsi="Times New Roman"/>
          <w:sz w:val="28"/>
        </w:rPr>
        <w:t xml:space="preserve"> нет отсутствуют.</w:t>
      </w:r>
    </w:p>
    <w:p w14:paraId="B1020000">
      <w:pPr>
        <w:spacing w:after="0"/>
        <w:ind w:firstLine="851" w:left="0"/>
        <w:rPr>
          <w:rFonts w:ascii="Times New Roman" w:hAnsi="Times New Roman"/>
          <w:b w:val="1"/>
          <w:sz w:val="28"/>
        </w:rPr>
      </w:pPr>
      <w:r>
        <w:rPr>
          <w:rFonts w:ascii="Times New Roman" w:hAnsi="Times New Roman"/>
          <w:b w:val="1"/>
          <w:sz w:val="28"/>
        </w:rPr>
        <w:drawing>
          <wp:inline>
            <wp:extent cx="5040249" cy="2752344"/>
            <wp:docPr hidden="false" id="66" name="Picture 66"/>
            <a:graphic>
              <a:graphicData uri="http://schemas.openxmlformats.org/drawingml/2006/picture">
                <pic:pic>
                  <pic:nvPicPr>
                    <pic:cNvPr hidden="false" id="65" name="Picture 65"/>
                    <pic:cNvPicPr preferRelativeResize="true"/>
                  </pic:nvPicPr>
                  <pic:blipFill>
                    <a:blip r:embed="rId36"/>
                    <a:srcRect b="0" l="0" r="0" t="0"/>
                    <a:stretch/>
                  </pic:blipFill>
                  <pic:spPr>
                    <a:xfrm flipH="false" flipV="false" rot="0">
                      <a:ext cx="5040249" cy="2752344"/>
                    </a:xfrm>
                    <a:prstGeom prst="rect"/>
                  </pic:spPr>
                </pic:pic>
              </a:graphicData>
            </a:graphic>
          </wp:inline>
        </w:drawing>
      </w:r>
    </w:p>
    <w:p w14:paraId="B202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13</w:t>
      </w:r>
      <w:r>
        <w:rPr>
          <w:rFonts w:ascii="Times New Roman" w:hAnsi="Times New Roman"/>
          <w:sz w:val="20"/>
        </w:rPr>
        <w:t>.</w:t>
      </w:r>
      <w:r>
        <w:rPr>
          <w:rFonts w:ascii="Times New Roman" w:hAnsi="Times New Roman"/>
          <w:b w:val="1"/>
          <w:sz w:val="20"/>
        </w:rPr>
        <w:t xml:space="preserve"> </w:t>
      </w:r>
      <w:r>
        <w:rPr>
          <w:rFonts w:ascii="Times New Roman" w:hAnsi="Times New Roman"/>
          <w:sz w:val="20"/>
        </w:rPr>
        <w:t>Количество организаций на рынке медицинских услуг, % к опрошенным</w:t>
      </w:r>
    </w:p>
    <w:p w14:paraId="B3020000">
      <w:pPr>
        <w:spacing w:after="0" w:line="240" w:lineRule="auto"/>
        <w:ind w:firstLine="709" w:left="0"/>
        <w:jc w:val="both"/>
        <w:rPr>
          <w:rFonts w:ascii="Times New Roman" w:hAnsi="Times New Roman"/>
          <w:sz w:val="28"/>
        </w:rPr>
      </w:pPr>
    </w:p>
    <w:p w14:paraId="B4020000">
      <w:pPr>
        <w:spacing w:after="0" w:line="240" w:lineRule="auto"/>
        <w:ind w:firstLine="709" w:left="0"/>
        <w:jc w:val="both"/>
        <w:rPr>
          <w:rFonts w:ascii="Times New Roman" w:hAnsi="Times New Roman"/>
          <w:sz w:val="28"/>
        </w:rPr>
      </w:pPr>
      <w:r>
        <w:rPr>
          <w:rFonts w:ascii="Times New Roman" w:hAnsi="Times New Roman"/>
          <w:sz w:val="28"/>
        </w:rPr>
        <w:t xml:space="preserve">Увеличение количества участников рынка медицинских услуг за последние 3 года отметили </w:t>
      </w:r>
      <w:r>
        <w:rPr>
          <w:rFonts w:ascii="Times New Roman" w:hAnsi="Times New Roman"/>
          <w:sz w:val="28"/>
        </w:rPr>
        <w:t>4</w:t>
      </w:r>
      <w:r>
        <w:rPr>
          <w:rFonts w:ascii="Times New Roman" w:hAnsi="Times New Roman"/>
          <w:sz w:val="28"/>
        </w:rPr>
        <w:t xml:space="preserve">%, снижение – </w:t>
      </w:r>
      <w:r>
        <w:rPr>
          <w:rFonts w:ascii="Times New Roman" w:hAnsi="Times New Roman"/>
          <w:sz w:val="28"/>
        </w:rPr>
        <w:t>26</w:t>
      </w:r>
      <w:r>
        <w:rPr>
          <w:rFonts w:ascii="Times New Roman" w:hAnsi="Times New Roman"/>
          <w:sz w:val="28"/>
        </w:rPr>
        <w:t>% респондентов</w:t>
      </w:r>
      <w:r>
        <w:rPr>
          <w:rFonts w:ascii="Times New Roman" w:hAnsi="Times New Roman"/>
          <w:sz w:val="28"/>
        </w:rPr>
        <w:t>, н</w:t>
      </w:r>
      <w:r>
        <w:rPr>
          <w:rFonts w:ascii="Times New Roman" w:hAnsi="Times New Roman"/>
          <w:sz w:val="28"/>
        </w:rPr>
        <w:t xml:space="preserve">еизменным объем рынка медицинских услуг считает </w:t>
      </w:r>
      <w:r>
        <w:rPr>
          <w:rFonts w:ascii="Times New Roman" w:hAnsi="Times New Roman"/>
          <w:sz w:val="28"/>
        </w:rPr>
        <w:t>31</w:t>
      </w:r>
      <w:r>
        <w:rPr>
          <w:rFonts w:ascii="Times New Roman" w:hAnsi="Times New Roman"/>
          <w:sz w:val="28"/>
        </w:rPr>
        <w:t>% опрошенных</w:t>
      </w:r>
      <w:r>
        <w:rPr>
          <w:rFonts w:ascii="Times New Roman" w:hAnsi="Times New Roman"/>
          <w:sz w:val="28"/>
        </w:rPr>
        <w:t>, затруднились ответить 9%</w:t>
      </w:r>
      <w:r>
        <w:rPr>
          <w:rFonts w:ascii="Times New Roman" w:hAnsi="Times New Roman"/>
          <w:sz w:val="28"/>
        </w:rPr>
        <w:t xml:space="preserve">. </w:t>
      </w:r>
      <w:r>
        <w:rPr>
          <w:rFonts w:ascii="Times New Roman" w:hAnsi="Times New Roman"/>
          <w:sz w:val="28"/>
        </w:rPr>
        <w:t>В 2020 году</w:t>
      </w:r>
      <w:r>
        <w:rPr>
          <w:rFonts w:ascii="Times New Roman" w:hAnsi="Times New Roman"/>
          <w:sz w:val="28"/>
        </w:rPr>
        <w:t xml:space="preserve"> также большая часть опрошенных (</w:t>
      </w:r>
      <w:r>
        <w:rPr>
          <w:rFonts w:ascii="Times New Roman" w:hAnsi="Times New Roman"/>
          <w:sz w:val="28"/>
        </w:rPr>
        <w:t>35</w:t>
      </w:r>
      <w:r>
        <w:rPr>
          <w:rFonts w:ascii="Times New Roman" w:hAnsi="Times New Roman"/>
          <w:sz w:val="28"/>
        </w:rPr>
        <w:t xml:space="preserve">%) отмечала </w:t>
      </w:r>
      <w:r>
        <w:rPr>
          <w:rFonts w:ascii="Times New Roman" w:hAnsi="Times New Roman"/>
          <w:sz w:val="28"/>
        </w:rPr>
        <w:t>рост</w:t>
      </w:r>
      <w:r>
        <w:rPr>
          <w:rFonts w:ascii="Times New Roman" w:hAnsi="Times New Roman"/>
          <w:sz w:val="28"/>
        </w:rPr>
        <w:t xml:space="preserve"> количеств</w:t>
      </w:r>
      <w:r>
        <w:rPr>
          <w:rFonts w:ascii="Times New Roman" w:hAnsi="Times New Roman"/>
          <w:sz w:val="28"/>
        </w:rPr>
        <w:t>а</w:t>
      </w:r>
      <w:r>
        <w:rPr>
          <w:rFonts w:ascii="Times New Roman" w:hAnsi="Times New Roman"/>
          <w:sz w:val="28"/>
        </w:rPr>
        <w:t xml:space="preserve"> таких организаций в городе.</w:t>
      </w:r>
      <w:r>
        <w:rPr>
          <w:rFonts w:ascii="Times New Roman" w:hAnsi="Times New Roman"/>
          <w:sz w:val="28"/>
        </w:rPr>
        <w:t xml:space="preserve"> </w:t>
      </w:r>
    </w:p>
    <w:p w14:paraId="B5020000">
      <w:pPr>
        <w:spacing w:after="0" w:line="240" w:lineRule="auto"/>
        <w:ind w:firstLine="709" w:left="0"/>
        <w:jc w:val="both"/>
        <w:rPr>
          <w:rFonts w:ascii="Times New Roman" w:hAnsi="Times New Roman"/>
          <w:b w:val="1"/>
          <w:sz w:val="28"/>
        </w:rPr>
      </w:pPr>
      <w:r>
        <w:rPr>
          <w:rFonts w:ascii="Times New Roman" w:hAnsi="Times New Roman"/>
          <w:sz w:val="28"/>
        </w:rPr>
        <w:t>П</w:t>
      </w:r>
      <w:r>
        <w:rPr>
          <w:rFonts w:ascii="Times New Roman" w:hAnsi="Times New Roman"/>
          <w:sz w:val="28"/>
        </w:rPr>
        <w:t>реобладающая часть респондентов удовлетворена</w:t>
      </w:r>
      <w:r>
        <w:rPr>
          <w:rFonts w:ascii="Times New Roman" w:hAnsi="Times New Roman"/>
          <w:sz w:val="28"/>
        </w:rPr>
        <w:t xml:space="preserve"> либо коре удовлетворена</w:t>
      </w:r>
      <w:r>
        <w:rPr>
          <w:rFonts w:ascii="Times New Roman" w:hAnsi="Times New Roman"/>
          <w:sz w:val="28"/>
        </w:rPr>
        <w:t xml:space="preserve"> всеми характеристиками предоставляемых услуг на данном рынке</w:t>
      </w:r>
      <w:r>
        <w:rPr>
          <w:rFonts w:ascii="Times New Roman" w:hAnsi="Times New Roman"/>
          <w:sz w:val="28"/>
        </w:rPr>
        <w:t>. Значительная часть опрашиваемых затруднилась ответить</w:t>
      </w:r>
      <w:r>
        <w:rPr>
          <w:rFonts w:ascii="Times New Roman" w:hAnsi="Times New Roman"/>
          <w:sz w:val="28"/>
        </w:rPr>
        <w:t xml:space="preserve"> (рисунок 2.14.)</w:t>
      </w:r>
      <w:r>
        <w:rPr>
          <w:rFonts w:ascii="Times New Roman" w:hAnsi="Times New Roman"/>
          <w:sz w:val="28"/>
        </w:rPr>
        <w:t>.</w:t>
      </w:r>
    </w:p>
    <w:p w14:paraId="B6020000">
      <w:pPr>
        <w:spacing w:after="0"/>
        <w:ind/>
        <w:jc w:val="center"/>
        <w:rPr>
          <w:rFonts w:ascii="Times New Roman" w:hAnsi="Times New Roman"/>
          <w:b w:val="1"/>
          <w:sz w:val="28"/>
        </w:rPr>
      </w:pPr>
    </w:p>
    <w:p w14:paraId="B7020000">
      <w:pPr>
        <w:spacing w:after="0"/>
        <w:ind/>
        <w:jc w:val="center"/>
        <w:rPr>
          <w:rFonts w:ascii="Times New Roman" w:hAnsi="Times New Roman"/>
          <w:b w:val="1"/>
          <w:sz w:val="28"/>
        </w:rPr>
      </w:pPr>
      <w:r>
        <w:rPr>
          <w:rFonts w:ascii="Times New Roman" w:hAnsi="Times New Roman"/>
          <w:b w:val="1"/>
          <w:sz w:val="28"/>
        </w:rPr>
        <w:t>Уровень цен</w:t>
      </w:r>
    </w:p>
    <w:p w14:paraId="B8020000">
      <w:pPr>
        <w:spacing w:after="0"/>
        <w:ind/>
        <w:jc w:val="center"/>
        <w:rPr>
          <w:rFonts w:ascii="Times New Roman" w:hAnsi="Times New Roman"/>
          <w:b w:val="1"/>
          <w:sz w:val="28"/>
        </w:rPr>
      </w:pPr>
      <w:r>
        <w:rPr>
          <w:rFonts w:ascii="Times New Roman" w:hAnsi="Times New Roman"/>
          <w:b w:val="1"/>
          <w:sz w:val="28"/>
        </w:rPr>
        <w:drawing>
          <wp:inline>
            <wp:extent cx="4590415" cy="2749550"/>
            <wp:docPr hidden="false" id="68" name="Picture 68"/>
            <a:graphic>
              <a:graphicData uri="http://schemas.openxmlformats.org/drawingml/2006/picture">
                <pic:pic>
                  <pic:nvPicPr>
                    <pic:cNvPr hidden="false" id="67" name="Picture 67"/>
                    <pic:cNvPicPr preferRelativeResize="true"/>
                  </pic:nvPicPr>
                  <pic:blipFill>
                    <a:blip r:embed="rId37"/>
                    <a:srcRect b="0" l="0" r="0" t="0"/>
                    <a:stretch/>
                  </pic:blipFill>
                  <pic:spPr>
                    <a:xfrm flipH="false" flipV="false" rot="0">
                      <a:ext cx="4590415" cy="2749550"/>
                    </a:xfrm>
                    <a:prstGeom prst="rect"/>
                  </pic:spPr>
                </pic:pic>
              </a:graphicData>
            </a:graphic>
          </wp:inline>
        </w:drawing>
      </w:r>
    </w:p>
    <w:p w14:paraId="B9020000">
      <w:pPr>
        <w:spacing w:after="0"/>
        <w:ind/>
        <w:jc w:val="center"/>
        <w:rPr>
          <w:rFonts w:ascii="Times New Roman" w:hAnsi="Times New Roman"/>
          <w:b w:val="1"/>
          <w:sz w:val="28"/>
        </w:rPr>
      </w:pPr>
      <w:r>
        <w:rPr>
          <w:rFonts w:ascii="Times New Roman" w:hAnsi="Times New Roman"/>
          <w:b w:val="1"/>
          <w:sz w:val="28"/>
        </w:rPr>
        <w:t>Качество</w:t>
      </w:r>
    </w:p>
    <w:p w14:paraId="BA020000">
      <w:pPr>
        <w:spacing w:after="0"/>
        <w:ind/>
        <w:jc w:val="center"/>
        <w:rPr>
          <w:rFonts w:ascii="Times New Roman" w:hAnsi="Times New Roman"/>
          <w:sz w:val="20"/>
        </w:rPr>
      </w:pPr>
      <w:r>
        <w:rPr>
          <w:rFonts w:ascii="Times New Roman" w:hAnsi="Times New Roman"/>
          <w:sz w:val="20"/>
        </w:rPr>
        <w:drawing>
          <wp:inline>
            <wp:extent cx="4590415" cy="2749550"/>
            <wp:docPr hidden="false" id="70" name="Picture 70"/>
            <a:graphic>
              <a:graphicData uri="http://schemas.openxmlformats.org/drawingml/2006/picture">
                <pic:pic>
                  <pic:nvPicPr>
                    <pic:cNvPr hidden="false" id="69" name="Picture 69"/>
                    <pic:cNvPicPr preferRelativeResize="true"/>
                  </pic:nvPicPr>
                  <pic:blipFill>
                    <a:blip r:embed="rId38"/>
                    <a:srcRect b="0" l="0" r="0" t="0"/>
                    <a:stretch/>
                  </pic:blipFill>
                  <pic:spPr>
                    <a:xfrm flipH="false" flipV="false" rot="0">
                      <a:ext cx="4590415" cy="2749550"/>
                    </a:xfrm>
                    <a:prstGeom prst="rect"/>
                  </pic:spPr>
                </pic:pic>
              </a:graphicData>
            </a:graphic>
          </wp:inline>
        </w:drawing>
      </w:r>
    </w:p>
    <w:p w14:paraId="BB020000">
      <w:pPr>
        <w:spacing w:after="0"/>
        <w:ind/>
        <w:jc w:val="center"/>
        <w:rPr>
          <w:rFonts w:ascii="Times New Roman" w:hAnsi="Times New Roman"/>
          <w:b w:val="1"/>
          <w:sz w:val="28"/>
        </w:rPr>
      </w:pPr>
      <w:r>
        <w:rPr>
          <w:rFonts w:ascii="Times New Roman" w:hAnsi="Times New Roman"/>
          <w:b w:val="1"/>
          <w:sz w:val="28"/>
        </w:rPr>
        <w:t>Возможность выбора</w:t>
      </w:r>
    </w:p>
    <w:p w14:paraId="BC020000">
      <w:pPr>
        <w:spacing w:after="0"/>
        <w:ind/>
        <w:jc w:val="center"/>
        <w:rPr>
          <w:rFonts w:ascii="Times New Roman" w:hAnsi="Times New Roman"/>
          <w:sz w:val="20"/>
        </w:rPr>
      </w:pPr>
      <w:r>
        <w:rPr>
          <w:rFonts w:ascii="Times New Roman" w:hAnsi="Times New Roman"/>
          <w:sz w:val="20"/>
        </w:rPr>
        <w:drawing>
          <wp:inline>
            <wp:extent cx="4590415" cy="2749550"/>
            <wp:docPr hidden="false" id="72" name="Picture 72"/>
            <a:graphic>
              <a:graphicData uri="http://schemas.openxmlformats.org/drawingml/2006/picture">
                <pic:pic>
                  <pic:nvPicPr>
                    <pic:cNvPr hidden="false" id="71" name="Picture 71"/>
                    <pic:cNvPicPr preferRelativeResize="true"/>
                  </pic:nvPicPr>
                  <pic:blipFill>
                    <a:blip r:embed="rId39"/>
                    <a:srcRect b="0" l="0" r="0" t="0"/>
                    <a:stretch/>
                  </pic:blipFill>
                  <pic:spPr>
                    <a:xfrm flipH="false" flipV="false" rot="0">
                      <a:ext cx="4590415" cy="2749550"/>
                    </a:xfrm>
                    <a:prstGeom prst="rect"/>
                  </pic:spPr>
                </pic:pic>
              </a:graphicData>
            </a:graphic>
          </wp:inline>
        </w:drawing>
      </w:r>
    </w:p>
    <w:p w14:paraId="BD02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14</w:t>
      </w:r>
      <w:r>
        <w:rPr>
          <w:rFonts w:ascii="Times New Roman" w:hAnsi="Times New Roman"/>
          <w:sz w:val="20"/>
        </w:rPr>
        <w:t xml:space="preserve">. Степень удовлетворенности потребителей характеристиками продукции на рынке </w:t>
      </w:r>
      <w:r>
        <w:rPr>
          <w:rFonts w:ascii="Times New Roman" w:hAnsi="Times New Roman"/>
          <w:sz w:val="20"/>
        </w:rPr>
        <w:t xml:space="preserve">медицинских </w:t>
      </w:r>
      <w:r>
        <w:rPr>
          <w:rFonts w:ascii="Times New Roman" w:hAnsi="Times New Roman"/>
          <w:sz w:val="20"/>
        </w:rPr>
        <w:t>услуг</w:t>
      </w:r>
      <w:r>
        <w:rPr>
          <w:rFonts w:ascii="Times New Roman" w:hAnsi="Times New Roman"/>
          <w:sz w:val="20"/>
        </w:rPr>
        <w:t xml:space="preserve"> </w:t>
      </w:r>
      <w:r>
        <w:rPr>
          <w:rFonts w:ascii="Times New Roman" w:hAnsi="Times New Roman"/>
          <w:sz w:val="20"/>
        </w:rPr>
        <w:t>% к опрошенным</w:t>
      </w:r>
    </w:p>
    <w:p w14:paraId="BE020000">
      <w:pPr>
        <w:spacing w:after="0" w:line="240" w:lineRule="auto"/>
        <w:ind w:firstLine="709" w:left="0"/>
        <w:jc w:val="both"/>
        <w:rPr>
          <w:rFonts w:ascii="Times New Roman" w:hAnsi="Times New Roman"/>
          <w:sz w:val="28"/>
        </w:rPr>
      </w:pPr>
    </w:p>
    <w:p w14:paraId="BF020000">
      <w:pPr>
        <w:spacing w:after="0" w:line="240" w:lineRule="auto"/>
        <w:ind w:firstLine="709" w:left="0"/>
        <w:jc w:val="both"/>
        <w:rPr>
          <w:rFonts w:ascii="Times New Roman" w:hAnsi="Times New Roman"/>
          <w:sz w:val="28"/>
        </w:rPr>
      </w:pPr>
      <w:r>
        <w:rPr>
          <w:rFonts w:ascii="Times New Roman" w:hAnsi="Times New Roman"/>
          <w:sz w:val="28"/>
        </w:rPr>
        <w:t xml:space="preserve">Рынок медицинских услуг в городе </w:t>
      </w:r>
      <w:r>
        <w:rPr>
          <w:rFonts w:ascii="Times New Roman" w:hAnsi="Times New Roman"/>
          <w:sz w:val="28"/>
        </w:rPr>
        <w:t xml:space="preserve">Волгодонска представлен </w:t>
      </w:r>
      <w:r>
        <w:rPr>
          <w:rFonts w:ascii="Times New Roman" w:hAnsi="Times New Roman"/>
          <w:sz w:val="28"/>
        </w:rPr>
        <w:t>41</w:t>
      </w:r>
      <w:r>
        <w:rPr>
          <w:rFonts w:ascii="Times New Roman" w:hAnsi="Times New Roman"/>
          <w:sz w:val="28"/>
        </w:rPr>
        <w:t xml:space="preserve"> </w:t>
      </w:r>
      <w:r>
        <w:rPr>
          <w:rFonts w:ascii="Times New Roman" w:hAnsi="Times New Roman"/>
          <w:sz w:val="28"/>
        </w:rPr>
        <w:t>медицинской организацией. В ходе опроса выявлено, что рынка достаточно.</w:t>
      </w:r>
    </w:p>
    <w:p w14:paraId="C0020000">
      <w:pPr>
        <w:spacing w:after="0" w:line="240" w:lineRule="auto"/>
        <w:ind w:firstLine="709" w:left="0"/>
        <w:jc w:val="both"/>
        <w:rPr>
          <w:rFonts w:ascii="Times New Roman" w:hAnsi="Times New Roman"/>
          <w:sz w:val="28"/>
        </w:rPr>
      </w:pPr>
    </w:p>
    <w:p w14:paraId="C1020000">
      <w:pPr>
        <w:tabs>
          <w:tab w:leader="none" w:pos="2428" w:val="left"/>
        </w:tabs>
        <w:spacing w:after="0"/>
        <w:ind w:firstLine="709" w:left="0"/>
        <w:jc w:val="both"/>
        <w:rPr>
          <w:rFonts w:ascii="Times New Roman" w:hAnsi="Times New Roman"/>
          <w:b w:val="1"/>
          <w:sz w:val="28"/>
          <w:u w:val="single"/>
        </w:rPr>
      </w:pPr>
      <w:r>
        <w:rPr>
          <w:rFonts w:ascii="Times New Roman" w:hAnsi="Times New Roman"/>
          <w:sz w:val="28"/>
        </w:rPr>
        <w:t xml:space="preserve"> </w:t>
      </w:r>
      <w:r>
        <w:rPr>
          <w:rFonts w:ascii="Times New Roman" w:hAnsi="Times New Roman"/>
          <w:sz w:val="28"/>
        </w:rPr>
        <w:tab/>
      </w:r>
      <w:r>
        <w:rPr>
          <w:rFonts w:ascii="Times New Roman" w:hAnsi="Times New Roman"/>
          <w:b w:val="1"/>
          <w:sz w:val="28"/>
          <w:u w:val="single"/>
        </w:rPr>
        <w:t>4</w:t>
      </w:r>
      <w:r>
        <w:rPr>
          <w:rFonts w:ascii="Times New Roman" w:hAnsi="Times New Roman"/>
          <w:b w:val="1"/>
          <w:sz w:val="28"/>
          <w:u w:val="single"/>
        </w:rPr>
        <w:t xml:space="preserve">. </w:t>
      </w:r>
      <w:r>
        <w:rPr>
          <w:rFonts w:ascii="Times New Roman" w:hAnsi="Times New Roman"/>
          <w:b w:val="1"/>
          <w:sz w:val="28"/>
          <w:u w:val="single"/>
        </w:rPr>
        <w:t xml:space="preserve">Рынок услуг в сфере культуры </w:t>
      </w:r>
    </w:p>
    <w:p w14:paraId="C2020000">
      <w:pPr>
        <w:spacing w:after="0"/>
        <w:ind/>
        <w:jc w:val="both"/>
        <w:rPr>
          <w:rFonts w:ascii="Times New Roman" w:hAnsi="Times New Roman"/>
          <w:sz w:val="14"/>
        </w:rPr>
      </w:pPr>
    </w:p>
    <w:p w14:paraId="C3020000">
      <w:pPr>
        <w:spacing w:after="0" w:line="240" w:lineRule="auto"/>
        <w:ind w:firstLine="709" w:left="0"/>
        <w:jc w:val="both"/>
        <w:rPr>
          <w:rFonts w:ascii="Times New Roman" w:hAnsi="Times New Roman"/>
          <w:sz w:val="28"/>
        </w:rPr>
      </w:pPr>
      <w:r>
        <w:rPr>
          <w:rFonts w:ascii="Times New Roman" w:hAnsi="Times New Roman"/>
          <w:sz w:val="28"/>
        </w:rPr>
        <w:t>Больше половины  от числа опрошенных</w:t>
      </w:r>
      <w:r>
        <w:rPr>
          <w:rFonts w:ascii="Times New Roman" w:hAnsi="Times New Roman"/>
          <w:sz w:val="28"/>
        </w:rPr>
        <w:t xml:space="preserve"> </w:t>
      </w:r>
      <w:r>
        <w:rPr>
          <w:rFonts w:ascii="Times New Roman" w:hAnsi="Times New Roman"/>
          <w:sz w:val="28"/>
        </w:rPr>
        <w:t>(56</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считают, что организаций, предоставляющих </w:t>
      </w:r>
      <w:r>
        <w:rPr>
          <w:rFonts w:ascii="Times New Roman" w:hAnsi="Times New Roman"/>
          <w:sz w:val="28"/>
        </w:rPr>
        <w:t xml:space="preserve">услуги в сфере культуры на рынке города </w:t>
      </w:r>
      <w:r>
        <w:rPr>
          <w:rFonts w:ascii="Times New Roman" w:hAnsi="Times New Roman"/>
          <w:sz w:val="28"/>
        </w:rPr>
        <w:t>Волгодонска</w:t>
      </w:r>
      <w:r>
        <w:rPr>
          <w:rFonts w:ascii="Times New Roman" w:hAnsi="Times New Roman"/>
          <w:sz w:val="28"/>
        </w:rPr>
        <w:t xml:space="preserve"> </w:t>
      </w:r>
      <w:r>
        <w:rPr>
          <w:rFonts w:ascii="Times New Roman" w:hAnsi="Times New Roman"/>
          <w:sz w:val="28"/>
        </w:rPr>
        <w:t>достаточно</w:t>
      </w:r>
      <w:r>
        <w:rPr>
          <w:rFonts w:ascii="Times New Roman" w:hAnsi="Times New Roman"/>
          <w:sz w:val="28"/>
        </w:rPr>
        <w:t xml:space="preserve"> (рисунок 2.</w:t>
      </w:r>
      <w:r>
        <w:rPr>
          <w:rFonts w:ascii="Times New Roman" w:hAnsi="Times New Roman"/>
          <w:sz w:val="28"/>
        </w:rPr>
        <w:t>15</w:t>
      </w:r>
      <w:r>
        <w:rPr>
          <w:rFonts w:ascii="Times New Roman" w:hAnsi="Times New Roman"/>
          <w:sz w:val="28"/>
        </w:rPr>
        <w:t xml:space="preserve">.). </w:t>
      </w:r>
      <w:r>
        <w:rPr>
          <w:rFonts w:ascii="Times New Roman" w:hAnsi="Times New Roman"/>
          <w:sz w:val="28"/>
        </w:rPr>
        <w:t>Годом ранее основная часть ответивших отме</w:t>
      </w:r>
      <w:r>
        <w:rPr>
          <w:rFonts w:ascii="Times New Roman" w:hAnsi="Times New Roman"/>
          <w:sz w:val="28"/>
        </w:rPr>
        <w:t>чала</w:t>
      </w:r>
      <w:r>
        <w:rPr>
          <w:rFonts w:ascii="Times New Roman" w:hAnsi="Times New Roman"/>
          <w:sz w:val="28"/>
        </w:rPr>
        <w:t xml:space="preserve"> </w:t>
      </w:r>
      <w:r>
        <w:rPr>
          <w:rFonts w:ascii="Times New Roman" w:hAnsi="Times New Roman"/>
          <w:sz w:val="28"/>
        </w:rPr>
        <w:t>такое же</w:t>
      </w:r>
      <w:r>
        <w:rPr>
          <w:rFonts w:ascii="Times New Roman" w:hAnsi="Times New Roman"/>
          <w:sz w:val="28"/>
        </w:rPr>
        <w:t xml:space="preserve"> количество организаций, представляющих рынок </w:t>
      </w:r>
      <w:r>
        <w:rPr>
          <w:rFonts w:ascii="Times New Roman" w:hAnsi="Times New Roman"/>
          <w:sz w:val="28"/>
        </w:rPr>
        <w:t>в сфере культуры.</w:t>
      </w:r>
      <w:r>
        <w:rPr>
          <w:rFonts w:ascii="Times New Roman" w:hAnsi="Times New Roman"/>
          <w:sz w:val="28"/>
        </w:rPr>
        <w:t xml:space="preserve"> </w:t>
      </w:r>
    </w:p>
    <w:p w14:paraId="C4020000">
      <w:pPr>
        <w:spacing w:after="0"/>
        <w:ind w:firstLine="709" w:left="0"/>
        <w:jc w:val="both"/>
        <w:rPr>
          <w:rFonts w:ascii="Times New Roman" w:hAnsi="Times New Roman"/>
          <w:sz w:val="28"/>
        </w:rPr>
      </w:pPr>
      <w:r>
        <w:rPr>
          <w:rFonts w:ascii="Times New Roman" w:hAnsi="Times New Roman"/>
          <w:sz w:val="28"/>
        </w:rPr>
        <w:t xml:space="preserve">При этом 36% респондентов считают, что </w:t>
      </w:r>
      <w:r>
        <w:rPr>
          <w:rFonts w:ascii="Times New Roman" w:hAnsi="Times New Roman"/>
          <w:sz w:val="28"/>
        </w:rPr>
        <w:t xml:space="preserve">на рынке </w:t>
      </w:r>
      <w:r>
        <w:rPr>
          <w:rFonts w:ascii="Times New Roman" w:hAnsi="Times New Roman"/>
          <w:sz w:val="28"/>
        </w:rPr>
        <w:t>услуги представлено мало организаций</w:t>
      </w:r>
      <w:r>
        <w:rPr>
          <w:rFonts w:ascii="Times New Roman" w:hAnsi="Times New Roman"/>
          <w:sz w:val="28"/>
        </w:rPr>
        <w:t xml:space="preserve">, </w:t>
      </w:r>
      <w:r>
        <w:rPr>
          <w:rFonts w:ascii="Times New Roman" w:hAnsi="Times New Roman"/>
          <w:sz w:val="28"/>
        </w:rPr>
        <w:t>7% считают, что их много, а 1% считают, что таких организаций нет совсем.</w:t>
      </w:r>
    </w:p>
    <w:p w14:paraId="C5020000">
      <w:pPr>
        <w:spacing w:after="0"/>
        <w:ind/>
        <w:rPr>
          <w:rFonts w:ascii="Times New Roman" w:hAnsi="Times New Roman"/>
          <w:b w:val="1"/>
          <w:sz w:val="28"/>
        </w:rPr>
      </w:pPr>
    </w:p>
    <w:p w14:paraId="C6020000">
      <w:pPr>
        <w:spacing w:after="0"/>
        <w:ind/>
        <w:jc w:val="center"/>
        <w:rPr>
          <w:rFonts w:ascii="Times New Roman" w:hAnsi="Times New Roman"/>
          <w:sz w:val="28"/>
        </w:rPr>
      </w:pPr>
      <w:r>
        <w:rPr>
          <w:rFonts w:ascii="Times New Roman" w:hAnsi="Times New Roman"/>
          <w:sz w:val="28"/>
        </w:rPr>
        <w:drawing>
          <wp:inline>
            <wp:extent cx="4742815" cy="2806954"/>
            <wp:docPr hidden="false" id="74" name="Picture 74"/>
            <a:graphic>
              <a:graphicData uri="http://schemas.openxmlformats.org/drawingml/2006/picture">
                <pic:pic>
                  <pic:nvPicPr>
                    <pic:cNvPr hidden="false" id="73" name="Picture 73"/>
                    <pic:cNvPicPr preferRelativeResize="true"/>
                  </pic:nvPicPr>
                  <pic:blipFill>
                    <a:blip r:embed="rId40"/>
                    <a:srcRect b="-92" l="0" r="0" t="0"/>
                    <a:stretch/>
                  </pic:blipFill>
                  <pic:spPr>
                    <a:xfrm flipH="false" flipV="false" rot="0">
                      <a:ext cx="4742815" cy="2806954"/>
                    </a:xfrm>
                    <a:prstGeom prst="rect"/>
                  </pic:spPr>
                </pic:pic>
              </a:graphicData>
            </a:graphic>
          </wp:inline>
        </w:drawing>
      </w:r>
    </w:p>
    <w:p w14:paraId="C7020000">
      <w:pPr>
        <w:spacing w:after="0"/>
        <w:ind/>
        <w:jc w:val="center"/>
        <w:rPr>
          <w:rFonts w:ascii="Times New Roman" w:hAnsi="Times New Roman"/>
          <w:sz w:val="20"/>
        </w:rPr>
      </w:pPr>
      <w:r>
        <w:rPr>
          <w:rFonts w:ascii="Times New Roman" w:hAnsi="Times New Roman"/>
          <w:sz w:val="20"/>
        </w:rPr>
        <w:t>Рисунок 2.15</w:t>
      </w:r>
      <w:r>
        <w:rPr>
          <w:rFonts w:ascii="Times New Roman" w:hAnsi="Times New Roman"/>
          <w:sz w:val="20"/>
        </w:rPr>
        <w:t xml:space="preserve">. Количество организаций на рынке </w:t>
      </w:r>
      <w:r>
        <w:rPr>
          <w:rFonts w:ascii="Times New Roman" w:hAnsi="Times New Roman"/>
          <w:sz w:val="20"/>
        </w:rPr>
        <w:t>услуг в сфере культуры</w:t>
      </w:r>
      <w:r>
        <w:rPr>
          <w:rFonts w:ascii="Times New Roman" w:hAnsi="Times New Roman"/>
          <w:sz w:val="20"/>
        </w:rPr>
        <w:t>, % к опрошенным</w:t>
      </w:r>
    </w:p>
    <w:p w14:paraId="C8020000">
      <w:pPr>
        <w:spacing w:after="0"/>
        <w:ind w:firstLine="709" w:left="0"/>
        <w:jc w:val="both"/>
        <w:rPr>
          <w:rFonts w:ascii="Times New Roman" w:hAnsi="Times New Roman"/>
          <w:sz w:val="28"/>
        </w:rPr>
      </w:pPr>
    </w:p>
    <w:p w14:paraId="C9020000">
      <w:pPr>
        <w:spacing w:after="0"/>
        <w:ind w:firstLine="709" w:left="0"/>
        <w:jc w:val="both"/>
        <w:rPr>
          <w:rFonts w:ascii="Times New Roman" w:hAnsi="Times New Roman"/>
          <w:sz w:val="28"/>
        </w:rPr>
      </w:pPr>
      <w:r>
        <w:rPr>
          <w:rFonts w:ascii="Times New Roman" w:hAnsi="Times New Roman"/>
          <w:sz w:val="28"/>
        </w:rPr>
        <w:t xml:space="preserve">При проведении опроса </w:t>
      </w:r>
      <w:r>
        <w:rPr>
          <w:rFonts w:ascii="Times New Roman" w:hAnsi="Times New Roman"/>
          <w:sz w:val="28"/>
        </w:rPr>
        <w:t>55</w:t>
      </w:r>
      <w:r>
        <w:rPr>
          <w:rFonts w:ascii="Times New Roman" w:hAnsi="Times New Roman"/>
          <w:sz w:val="28"/>
        </w:rPr>
        <w:t>,0% респондентов посчитали, что в течение последних 3 лет рынок услуг в сфере культуры не изменился.</w:t>
      </w:r>
    </w:p>
    <w:p w14:paraId="CA020000">
      <w:pPr>
        <w:spacing w:after="0"/>
        <w:ind w:firstLine="709" w:left="0"/>
        <w:jc w:val="both"/>
        <w:rPr>
          <w:rFonts w:ascii="Times New Roman" w:hAnsi="Times New Roman"/>
          <w:sz w:val="28"/>
        </w:rPr>
      </w:pPr>
      <w:r>
        <w:rPr>
          <w:rFonts w:ascii="Times New Roman" w:hAnsi="Times New Roman"/>
          <w:sz w:val="28"/>
        </w:rPr>
        <w:t>При этом 2</w:t>
      </w:r>
      <w:r>
        <w:rPr>
          <w:rFonts w:ascii="Times New Roman" w:hAnsi="Times New Roman"/>
          <w:sz w:val="28"/>
        </w:rPr>
        <w:t>4</w:t>
      </w:r>
      <w:r>
        <w:rPr>
          <w:rFonts w:ascii="Times New Roman" w:hAnsi="Times New Roman"/>
          <w:sz w:val="28"/>
        </w:rPr>
        <w:t>% опрошенных посчитали, что он увеличился, 1</w:t>
      </w:r>
      <w:r>
        <w:rPr>
          <w:rFonts w:ascii="Times New Roman" w:hAnsi="Times New Roman"/>
          <w:sz w:val="28"/>
        </w:rPr>
        <w:t>8</w:t>
      </w:r>
      <w:r>
        <w:rPr>
          <w:rFonts w:ascii="Times New Roman" w:hAnsi="Times New Roman"/>
          <w:sz w:val="28"/>
        </w:rPr>
        <w:t xml:space="preserve">% затруднили ответить об изменениях рынка, а для </w:t>
      </w:r>
      <w:r>
        <w:rPr>
          <w:rFonts w:ascii="Times New Roman" w:hAnsi="Times New Roman"/>
          <w:sz w:val="28"/>
        </w:rPr>
        <w:t>3</w:t>
      </w:r>
      <w:r>
        <w:rPr>
          <w:rFonts w:ascii="Times New Roman" w:hAnsi="Times New Roman"/>
          <w:sz w:val="28"/>
        </w:rPr>
        <w:t xml:space="preserve">% </w:t>
      </w:r>
      <w:r>
        <w:rPr>
          <w:rFonts w:ascii="Times New Roman" w:hAnsi="Times New Roman"/>
          <w:sz w:val="28"/>
        </w:rPr>
        <w:t>– ры</w:t>
      </w:r>
      <w:r>
        <w:rPr>
          <w:rFonts w:ascii="Times New Roman" w:hAnsi="Times New Roman"/>
          <w:sz w:val="28"/>
        </w:rPr>
        <w:t xml:space="preserve">нок снизился. </w:t>
      </w:r>
    </w:p>
    <w:p w14:paraId="CB020000">
      <w:pPr>
        <w:spacing w:after="0"/>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xml:space="preserve">5% респондентов удовлетворены в разной степени уровнем цен на рынке </w:t>
      </w:r>
      <w:r>
        <w:rPr>
          <w:rFonts w:ascii="Times New Roman" w:hAnsi="Times New Roman"/>
          <w:sz w:val="28"/>
        </w:rPr>
        <w:t xml:space="preserve">услуг </w:t>
      </w:r>
      <w:r>
        <w:rPr>
          <w:rFonts w:ascii="Times New Roman" w:hAnsi="Times New Roman"/>
          <w:sz w:val="28"/>
        </w:rPr>
        <w:t xml:space="preserve">в сфере культуры. (рисунок 2.16.). </w:t>
      </w:r>
    </w:p>
    <w:p w14:paraId="CC020000">
      <w:pPr>
        <w:spacing w:after="0"/>
        <w:ind w:firstLine="709" w:left="0"/>
        <w:jc w:val="both"/>
        <w:rPr>
          <w:rFonts w:ascii="Times New Roman" w:hAnsi="Times New Roman"/>
          <w:sz w:val="28"/>
        </w:rPr>
      </w:pPr>
      <w:r>
        <w:rPr>
          <w:rFonts w:ascii="Times New Roman" w:hAnsi="Times New Roman"/>
          <w:sz w:val="28"/>
        </w:rPr>
        <w:t>Уровнем цен, качеством и возможностью выбора услуг в той или иной мере оказались удовлетворены 2</w:t>
      </w:r>
      <w:r>
        <w:rPr>
          <w:rFonts w:ascii="Times New Roman" w:hAnsi="Times New Roman"/>
          <w:sz w:val="28"/>
        </w:rPr>
        <w:t>6</w:t>
      </w:r>
      <w:r>
        <w:rPr>
          <w:rFonts w:ascii="Times New Roman" w:hAnsi="Times New Roman"/>
          <w:sz w:val="28"/>
        </w:rPr>
        <w:t>%, 2</w:t>
      </w:r>
      <w:r>
        <w:rPr>
          <w:rFonts w:ascii="Times New Roman" w:hAnsi="Times New Roman"/>
          <w:sz w:val="28"/>
        </w:rPr>
        <w:t>9</w:t>
      </w:r>
      <w:r>
        <w:rPr>
          <w:rFonts w:ascii="Times New Roman" w:hAnsi="Times New Roman"/>
          <w:sz w:val="28"/>
        </w:rPr>
        <w:t>% и 29% опрошенных соответственно.</w:t>
      </w:r>
    </w:p>
    <w:p w14:paraId="CD020000">
      <w:pPr>
        <w:spacing w:after="0"/>
        <w:ind w:firstLine="709" w:left="0"/>
        <w:jc w:val="center"/>
        <w:rPr>
          <w:rFonts w:ascii="Times New Roman" w:hAnsi="Times New Roman"/>
          <w:sz w:val="28"/>
        </w:rPr>
      </w:pPr>
    </w:p>
    <w:p w14:paraId="CE020000">
      <w:pPr>
        <w:spacing w:after="0"/>
        <w:ind w:firstLine="709" w:left="0"/>
        <w:jc w:val="center"/>
        <w:rPr>
          <w:rFonts w:ascii="Times New Roman" w:hAnsi="Times New Roman"/>
          <w:b w:val="1"/>
          <w:sz w:val="28"/>
        </w:rPr>
      </w:pPr>
    </w:p>
    <w:p w14:paraId="CF020000">
      <w:pPr>
        <w:spacing w:after="0"/>
        <w:ind w:firstLine="709" w:left="0"/>
        <w:jc w:val="center"/>
        <w:rPr>
          <w:rFonts w:ascii="Times New Roman" w:hAnsi="Times New Roman"/>
          <w:b w:val="1"/>
          <w:sz w:val="28"/>
        </w:rPr>
      </w:pPr>
    </w:p>
    <w:p w14:paraId="D0020000">
      <w:pPr>
        <w:spacing w:after="0"/>
        <w:ind w:firstLine="709" w:left="0"/>
        <w:jc w:val="center"/>
        <w:rPr>
          <w:rFonts w:ascii="Times New Roman" w:hAnsi="Times New Roman"/>
          <w:b w:val="1"/>
          <w:sz w:val="28"/>
        </w:rPr>
      </w:pPr>
    </w:p>
    <w:p w14:paraId="D1020000">
      <w:pPr>
        <w:spacing w:after="0"/>
        <w:ind w:firstLine="709" w:left="0"/>
        <w:jc w:val="center"/>
        <w:rPr>
          <w:rFonts w:ascii="Times New Roman" w:hAnsi="Times New Roman"/>
          <w:b w:val="1"/>
          <w:sz w:val="28"/>
        </w:rPr>
      </w:pPr>
    </w:p>
    <w:p w14:paraId="D2020000">
      <w:pPr>
        <w:spacing w:after="0"/>
        <w:ind w:firstLine="709" w:left="0"/>
        <w:jc w:val="center"/>
        <w:rPr>
          <w:rFonts w:ascii="Times New Roman" w:hAnsi="Times New Roman"/>
          <w:b w:val="1"/>
          <w:sz w:val="28"/>
        </w:rPr>
      </w:pPr>
    </w:p>
    <w:p w14:paraId="D3020000">
      <w:pPr>
        <w:spacing w:after="0"/>
        <w:ind w:firstLine="709" w:left="0"/>
        <w:jc w:val="center"/>
        <w:rPr>
          <w:rFonts w:ascii="Times New Roman" w:hAnsi="Times New Roman"/>
          <w:b w:val="1"/>
          <w:sz w:val="28"/>
        </w:rPr>
      </w:pPr>
      <w:r>
        <w:rPr>
          <w:rFonts w:ascii="Times New Roman" w:hAnsi="Times New Roman"/>
          <w:b w:val="1"/>
          <w:sz w:val="28"/>
        </w:rPr>
        <w:t>Уровень цен</w:t>
      </w:r>
    </w:p>
    <w:p w14:paraId="D4020000">
      <w:pPr>
        <w:spacing w:after="0"/>
        <w:ind w:firstLine="709" w:left="0"/>
        <w:jc w:val="center"/>
        <w:rPr>
          <w:rFonts w:ascii="Times New Roman" w:hAnsi="Times New Roman"/>
          <w:b w:val="1"/>
          <w:sz w:val="28"/>
        </w:rPr>
      </w:pPr>
      <w:r>
        <w:rPr>
          <w:rFonts w:ascii="Times New Roman" w:hAnsi="Times New Roman"/>
          <w:b w:val="1"/>
          <w:sz w:val="28"/>
        </w:rPr>
        <w:drawing>
          <wp:inline>
            <wp:extent cx="4590415" cy="2749550"/>
            <wp:docPr hidden="false" id="76" name="Picture 76"/>
            <a:graphic>
              <a:graphicData uri="http://schemas.openxmlformats.org/drawingml/2006/picture">
                <pic:pic>
                  <pic:nvPicPr>
                    <pic:cNvPr hidden="false" id="75" name="Picture 75"/>
                    <pic:cNvPicPr preferRelativeResize="true"/>
                  </pic:nvPicPr>
                  <pic:blipFill>
                    <a:blip r:embed="rId41"/>
                    <a:srcRect b="0" l="0" r="0" t="0"/>
                    <a:stretch/>
                  </pic:blipFill>
                  <pic:spPr>
                    <a:xfrm flipH="false" flipV="false" rot="0">
                      <a:ext cx="4590415" cy="2749550"/>
                    </a:xfrm>
                    <a:prstGeom prst="rect"/>
                  </pic:spPr>
                </pic:pic>
              </a:graphicData>
            </a:graphic>
          </wp:inline>
        </w:drawing>
      </w:r>
    </w:p>
    <w:p w14:paraId="D5020000">
      <w:pPr>
        <w:spacing w:after="0"/>
        <w:ind w:firstLine="709" w:left="0"/>
        <w:jc w:val="center"/>
        <w:rPr>
          <w:rFonts w:ascii="Times New Roman" w:hAnsi="Times New Roman"/>
          <w:b w:val="1"/>
          <w:sz w:val="28"/>
        </w:rPr>
      </w:pPr>
      <w:r>
        <w:rPr>
          <w:rFonts w:ascii="Times New Roman" w:hAnsi="Times New Roman"/>
          <w:b w:val="1"/>
          <w:sz w:val="28"/>
        </w:rPr>
        <w:t>Качество</w:t>
      </w:r>
    </w:p>
    <w:p w14:paraId="D6020000">
      <w:pPr>
        <w:spacing w:after="0"/>
        <w:ind w:firstLine="709" w:left="0"/>
        <w:jc w:val="center"/>
        <w:rPr>
          <w:rFonts w:ascii="Times New Roman" w:hAnsi="Times New Roman"/>
          <w:b w:val="1"/>
          <w:sz w:val="28"/>
        </w:rPr>
      </w:pPr>
      <w:r>
        <w:rPr>
          <w:rFonts w:ascii="Times New Roman" w:hAnsi="Times New Roman"/>
          <w:b w:val="1"/>
          <w:sz w:val="28"/>
        </w:rPr>
        <w:drawing>
          <wp:inline>
            <wp:extent cx="4590415" cy="2749550"/>
            <wp:docPr hidden="false" id="78" name="Picture 78"/>
            <a:graphic>
              <a:graphicData uri="http://schemas.openxmlformats.org/drawingml/2006/picture">
                <pic:pic>
                  <pic:nvPicPr>
                    <pic:cNvPr hidden="false" id="77" name="Picture 77"/>
                    <pic:cNvPicPr preferRelativeResize="true"/>
                  </pic:nvPicPr>
                  <pic:blipFill>
                    <a:blip r:embed="rId42"/>
                    <a:srcRect b="0" l="0" r="0" t="0"/>
                    <a:stretch/>
                  </pic:blipFill>
                  <pic:spPr>
                    <a:xfrm flipH="false" flipV="false" rot="0">
                      <a:ext cx="4590415" cy="2749550"/>
                    </a:xfrm>
                    <a:prstGeom prst="rect"/>
                  </pic:spPr>
                </pic:pic>
              </a:graphicData>
            </a:graphic>
          </wp:inline>
        </w:drawing>
      </w:r>
    </w:p>
    <w:p w14:paraId="D7020000">
      <w:pPr>
        <w:spacing w:after="0"/>
        <w:ind w:firstLine="709" w:left="0"/>
        <w:jc w:val="center"/>
        <w:rPr>
          <w:rFonts w:ascii="Times New Roman" w:hAnsi="Times New Roman"/>
          <w:b w:val="1"/>
          <w:sz w:val="28"/>
        </w:rPr>
      </w:pPr>
      <w:r>
        <w:rPr>
          <w:rFonts w:ascii="Times New Roman" w:hAnsi="Times New Roman"/>
          <w:b w:val="1"/>
          <w:sz w:val="28"/>
        </w:rPr>
        <w:t>Возможность выбора</w:t>
      </w:r>
    </w:p>
    <w:p w14:paraId="D8020000">
      <w:pPr>
        <w:pStyle w:val="Style_15"/>
        <w:rPr>
          <w:sz w:val="28"/>
        </w:rPr>
      </w:pPr>
      <w:r>
        <w:rPr>
          <w:sz w:val="28"/>
        </w:rPr>
        <w:drawing>
          <wp:inline>
            <wp:extent cx="4590415" cy="2749550"/>
            <wp:docPr hidden="false" id="80" name="Picture 80"/>
            <a:graphic>
              <a:graphicData uri="http://schemas.openxmlformats.org/drawingml/2006/picture">
                <pic:pic>
                  <pic:nvPicPr>
                    <pic:cNvPr hidden="false" id="79" name="Picture 79"/>
                    <pic:cNvPicPr preferRelativeResize="true"/>
                  </pic:nvPicPr>
                  <pic:blipFill>
                    <a:blip r:embed="rId43"/>
                    <a:srcRect b="0" l="0" r="0" t="0"/>
                    <a:stretch/>
                  </pic:blipFill>
                  <pic:spPr>
                    <a:xfrm flipH="false" flipV="false" rot="0">
                      <a:ext cx="4590415" cy="2749550"/>
                    </a:xfrm>
                    <a:prstGeom prst="rect"/>
                  </pic:spPr>
                </pic:pic>
              </a:graphicData>
            </a:graphic>
          </wp:inline>
        </w:drawing>
      </w:r>
    </w:p>
    <w:p w14:paraId="D9020000">
      <w:pPr>
        <w:spacing w:after="0"/>
        <w:ind/>
        <w:jc w:val="center"/>
        <w:rPr>
          <w:rFonts w:ascii="Times New Roman" w:hAnsi="Times New Roman"/>
          <w:sz w:val="28"/>
        </w:rPr>
      </w:pPr>
    </w:p>
    <w:p w14:paraId="DA02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16</w:t>
      </w:r>
      <w:r>
        <w:rPr>
          <w:rFonts w:ascii="Times New Roman" w:hAnsi="Times New Roman"/>
          <w:sz w:val="20"/>
        </w:rPr>
        <w:t>. Степень удовлетворенности потребителей характеристиками продукции на рынке услуг</w:t>
      </w:r>
      <w:r>
        <w:rPr>
          <w:rFonts w:ascii="Times New Roman" w:hAnsi="Times New Roman"/>
          <w:sz w:val="20"/>
        </w:rPr>
        <w:t xml:space="preserve"> </w:t>
      </w:r>
      <w:r>
        <w:rPr>
          <w:rFonts w:ascii="Times New Roman" w:hAnsi="Times New Roman"/>
          <w:sz w:val="20"/>
        </w:rPr>
        <w:t>в сфере культуры</w:t>
      </w:r>
      <w:r>
        <w:rPr>
          <w:rFonts w:ascii="Times New Roman" w:hAnsi="Times New Roman"/>
          <w:sz w:val="20"/>
        </w:rPr>
        <w:t>, % к опрошенным</w:t>
      </w:r>
    </w:p>
    <w:p w14:paraId="DB020000">
      <w:pPr>
        <w:spacing w:after="0"/>
        <w:ind/>
        <w:jc w:val="center"/>
        <w:rPr>
          <w:rFonts w:ascii="Times New Roman" w:hAnsi="Times New Roman"/>
          <w:sz w:val="28"/>
        </w:rPr>
      </w:pPr>
    </w:p>
    <w:p w14:paraId="DC020000">
      <w:pPr>
        <w:spacing w:after="0"/>
        <w:ind w:firstLine="709" w:left="0"/>
        <w:jc w:val="both"/>
        <w:rPr>
          <w:rFonts w:ascii="Times New Roman" w:hAnsi="Times New Roman"/>
          <w:sz w:val="28"/>
        </w:rPr>
      </w:pPr>
      <w:r>
        <w:rPr>
          <w:rFonts w:ascii="Times New Roman" w:hAnsi="Times New Roman"/>
          <w:sz w:val="28"/>
        </w:rPr>
        <w:t xml:space="preserve">Рынок услуг </w:t>
      </w:r>
      <w:r>
        <w:rPr>
          <w:rFonts w:ascii="Times New Roman" w:hAnsi="Times New Roman"/>
          <w:sz w:val="28"/>
        </w:rPr>
        <w:t xml:space="preserve">в сфере культуры </w:t>
      </w:r>
      <w:r>
        <w:rPr>
          <w:rFonts w:ascii="Times New Roman" w:hAnsi="Times New Roman"/>
          <w:sz w:val="28"/>
        </w:rPr>
        <w:t xml:space="preserve">г.Волгодонска включает в </w:t>
      </w:r>
      <w:r>
        <w:rPr>
          <w:rFonts w:ascii="Times New Roman" w:hAnsi="Times New Roman"/>
          <w:sz w:val="28"/>
        </w:rPr>
        <w:t>себя 11 учреждений культуры и дополнительного образования (24 объекта), являющ</w:t>
      </w:r>
      <w:r>
        <w:rPr>
          <w:rFonts w:ascii="Times New Roman" w:hAnsi="Times New Roman"/>
          <w:sz w:val="28"/>
        </w:rPr>
        <w:t>ихся самостоятельными юридическими лицами, которые предоставляют населению спектр культурных, образовательных и информационных</w:t>
      </w:r>
      <w:r>
        <w:rPr>
          <w:rFonts w:ascii="Times New Roman" w:hAnsi="Times New Roman"/>
          <w:sz w:val="28"/>
        </w:rPr>
        <w:t xml:space="preserve"> услуг</w:t>
      </w:r>
      <w:r>
        <w:rPr>
          <w:rFonts w:ascii="Times New Roman" w:hAnsi="Times New Roman"/>
          <w:sz w:val="28"/>
        </w:rPr>
        <w:t>.</w:t>
      </w:r>
    </w:p>
    <w:p w14:paraId="DD020000">
      <w:pPr>
        <w:spacing w:after="0"/>
        <w:ind w:firstLine="709" w:left="0"/>
        <w:jc w:val="both"/>
        <w:rPr>
          <w:rFonts w:ascii="Times New Roman" w:hAnsi="Times New Roman"/>
          <w:sz w:val="28"/>
        </w:rPr>
      </w:pPr>
      <w:r>
        <w:rPr>
          <w:rFonts w:ascii="Times New Roman" w:hAnsi="Times New Roman"/>
          <w:sz w:val="28"/>
        </w:rPr>
        <w:t xml:space="preserve">Опрос показал, что 55% опрошенных </w:t>
      </w:r>
      <w:r>
        <w:rPr>
          <w:rFonts w:ascii="Times New Roman" w:hAnsi="Times New Roman"/>
          <w:sz w:val="28"/>
        </w:rPr>
        <w:t>высказывал</w:t>
      </w:r>
      <w:r>
        <w:rPr>
          <w:rFonts w:ascii="Times New Roman" w:hAnsi="Times New Roman"/>
          <w:sz w:val="28"/>
        </w:rPr>
        <w:t>ась,</w:t>
      </w:r>
      <w:r>
        <w:rPr>
          <w:rFonts w:ascii="Times New Roman" w:hAnsi="Times New Roman"/>
          <w:sz w:val="28"/>
        </w:rPr>
        <w:t xml:space="preserve"> </w:t>
      </w:r>
      <w:r>
        <w:rPr>
          <w:rFonts w:ascii="Times New Roman" w:hAnsi="Times New Roman"/>
          <w:sz w:val="28"/>
        </w:rPr>
        <w:t xml:space="preserve">что данного рынка в городе достаточно, респонденты дали положительную </w:t>
      </w:r>
      <w:r>
        <w:rPr>
          <w:rFonts w:ascii="Times New Roman" w:hAnsi="Times New Roman"/>
          <w:sz w:val="28"/>
        </w:rPr>
        <w:t xml:space="preserve">оценку </w:t>
      </w:r>
      <w:r>
        <w:rPr>
          <w:rFonts w:ascii="Times New Roman" w:hAnsi="Times New Roman"/>
          <w:sz w:val="28"/>
        </w:rPr>
        <w:t>возможности выбора.</w:t>
      </w:r>
    </w:p>
    <w:p w14:paraId="DE020000">
      <w:pPr>
        <w:spacing w:after="0"/>
        <w:ind w:firstLine="709" w:left="0"/>
        <w:jc w:val="both"/>
        <w:rPr>
          <w:rFonts w:ascii="Times New Roman" w:hAnsi="Times New Roman"/>
          <w:sz w:val="28"/>
        </w:rPr>
      </w:pPr>
    </w:p>
    <w:p w14:paraId="DF020000">
      <w:pPr>
        <w:spacing w:after="0"/>
        <w:ind/>
        <w:jc w:val="center"/>
        <w:rPr>
          <w:rFonts w:ascii="Times New Roman" w:hAnsi="Times New Roman"/>
          <w:b w:val="1"/>
          <w:sz w:val="28"/>
          <w:u w:val="single"/>
        </w:rPr>
      </w:pPr>
      <w:r>
        <w:rPr>
          <w:rFonts w:ascii="Times New Roman" w:hAnsi="Times New Roman"/>
          <w:b w:val="1"/>
          <w:sz w:val="28"/>
          <w:u w:val="single"/>
        </w:rPr>
        <w:t>5</w:t>
      </w:r>
      <w:r>
        <w:rPr>
          <w:rFonts w:ascii="Times New Roman" w:hAnsi="Times New Roman"/>
          <w:b w:val="1"/>
          <w:sz w:val="28"/>
          <w:u w:val="single"/>
        </w:rPr>
        <w:t>. Рынок услуг жилищно-коммунального хозяйства</w:t>
      </w:r>
    </w:p>
    <w:p w14:paraId="E0020000">
      <w:pPr>
        <w:spacing w:after="0" w:line="240" w:lineRule="auto"/>
        <w:ind w:firstLine="709" w:left="0"/>
        <w:jc w:val="both"/>
        <w:rPr>
          <w:rFonts w:ascii="Times New Roman" w:hAnsi="Times New Roman"/>
          <w:sz w:val="28"/>
        </w:rPr>
      </w:pPr>
      <w:r>
        <w:rPr>
          <w:rFonts w:ascii="Times New Roman" w:hAnsi="Times New Roman"/>
          <w:sz w:val="28"/>
        </w:rPr>
        <w:t>Большая часть респондентов</w:t>
      </w:r>
      <w:r>
        <w:rPr>
          <w:rFonts w:ascii="Times New Roman" w:hAnsi="Times New Roman"/>
          <w:sz w:val="28"/>
        </w:rPr>
        <w:t xml:space="preserve"> (56%)</w:t>
      </w:r>
      <w:r>
        <w:rPr>
          <w:rFonts w:ascii="Times New Roman" w:hAnsi="Times New Roman"/>
          <w:sz w:val="28"/>
        </w:rPr>
        <w:t xml:space="preserve">, как и </w:t>
      </w:r>
      <w:r>
        <w:rPr>
          <w:rFonts w:ascii="Times New Roman" w:hAnsi="Times New Roman"/>
          <w:sz w:val="28"/>
        </w:rPr>
        <w:t>в 2020 году</w:t>
      </w:r>
      <w:r>
        <w:rPr>
          <w:rFonts w:ascii="Times New Roman" w:hAnsi="Times New Roman"/>
          <w:sz w:val="28"/>
        </w:rPr>
        <w:t>, полага</w:t>
      </w:r>
      <w:r>
        <w:rPr>
          <w:rFonts w:ascii="Times New Roman" w:hAnsi="Times New Roman"/>
          <w:sz w:val="28"/>
        </w:rPr>
        <w:t>ет</w:t>
      </w:r>
      <w:r>
        <w:rPr>
          <w:rFonts w:ascii="Times New Roman" w:hAnsi="Times New Roman"/>
          <w:sz w:val="28"/>
        </w:rPr>
        <w:t xml:space="preserve">, что рынок услуг жилищно-коммунального хозяйства достаточно развит. Напротив, о недостаточном количестве организаций данного рынка услуг говорят </w:t>
      </w:r>
      <w:r>
        <w:rPr>
          <w:rFonts w:ascii="Times New Roman" w:hAnsi="Times New Roman"/>
          <w:sz w:val="28"/>
        </w:rPr>
        <w:t>35</w:t>
      </w:r>
      <w:r>
        <w:rPr>
          <w:rFonts w:ascii="Times New Roman" w:hAnsi="Times New Roman"/>
          <w:sz w:val="28"/>
        </w:rPr>
        <w:t xml:space="preserve">% опрошенных, </w:t>
      </w:r>
      <w:r>
        <w:rPr>
          <w:rFonts w:ascii="Times New Roman" w:hAnsi="Times New Roman"/>
          <w:sz w:val="28"/>
        </w:rPr>
        <w:t>8</w:t>
      </w:r>
      <w:r>
        <w:rPr>
          <w:rFonts w:ascii="Times New Roman" w:hAnsi="Times New Roman"/>
          <w:sz w:val="28"/>
        </w:rPr>
        <w:t xml:space="preserve">% полагают, что избыточно, а </w:t>
      </w:r>
      <w:r>
        <w:rPr>
          <w:rFonts w:ascii="Times New Roman" w:hAnsi="Times New Roman"/>
          <w:sz w:val="28"/>
        </w:rPr>
        <w:t>1</w:t>
      </w:r>
      <w:r>
        <w:rPr>
          <w:rFonts w:ascii="Times New Roman" w:hAnsi="Times New Roman"/>
          <w:sz w:val="28"/>
        </w:rPr>
        <w:t>% считают, что нет совсем (рисунок 2.</w:t>
      </w:r>
      <w:r>
        <w:rPr>
          <w:rFonts w:ascii="Times New Roman" w:hAnsi="Times New Roman"/>
          <w:sz w:val="28"/>
        </w:rPr>
        <w:t>17</w:t>
      </w:r>
      <w:r>
        <w:rPr>
          <w:rFonts w:ascii="Times New Roman" w:hAnsi="Times New Roman"/>
          <w:sz w:val="28"/>
        </w:rPr>
        <w:t>.).</w:t>
      </w:r>
    </w:p>
    <w:p w14:paraId="E1020000">
      <w:pPr>
        <w:spacing w:after="0"/>
        <w:ind/>
        <w:jc w:val="center"/>
        <w:rPr>
          <w:rFonts w:ascii="Times New Roman" w:hAnsi="Times New Roman"/>
          <w:b w:val="1"/>
          <w:sz w:val="28"/>
        </w:rPr>
      </w:pPr>
      <w:r>
        <w:rPr>
          <w:rFonts w:ascii="Times New Roman" w:hAnsi="Times New Roman"/>
          <w:b w:val="1"/>
          <w:sz w:val="28"/>
        </w:rPr>
        <w:drawing>
          <wp:inline>
            <wp:extent cx="4590415" cy="2749550"/>
            <wp:docPr hidden="false" id="82" name="Picture 82"/>
            <a:graphic>
              <a:graphicData uri="http://schemas.openxmlformats.org/drawingml/2006/picture">
                <pic:pic>
                  <pic:nvPicPr>
                    <pic:cNvPr hidden="false" id="81" name="Picture 81"/>
                    <pic:cNvPicPr preferRelativeResize="true"/>
                  </pic:nvPicPr>
                  <pic:blipFill>
                    <a:blip r:embed="rId44"/>
                    <a:srcRect b="0" l="0" r="0" t="0"/>
                    <a:stretch/>
                  </pic:blipFill>
                  <pic:spPr>
                    <a:xfrm flipH="false" flipV="false" rot="0">
                      <a:ext cx="4590415" cy="2749550"/>
                    </a:xfrm>
                    <a:prstGeom prst="rect"/>
                  </pic:spPr>
                </pic:pic>
              </a:graphicData>
            </a:graphic>
          </wp:inline>
        </w:drawing>
      </w:r>
    </w:p>
    <w:p w14:paraId="E202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17</w:t>
      </w:r>
      <w:r>
        <w:rPr>
          <w:rFonts w:ascii="Times New Roman" w:hAnsi="Times New Roman"/>
          <w:sz w:val="20"/>
        </w:rPr>
        <w:t>.</w:t>
      </w:r>
      <w:r>
        <w:rPr>
          <w:rFonts w:ascii="Times New Roman" w:hAnsi="Times New Roman"/>
          <w:b w:val="1"/>
          <w:sz w:val="20"/>
        </w:rPr>
        <w:t xml:space="preserve"> </w:t>
      </w:r>
      <w:r>
        <w:rPr>
          <w:rFonts w:ascii="Times New Roman" w:hAnsi="Times New Roman"/>
          <w:sz w:val="20"/>
        </w:rPr>
        <w:t>Количество организаций на рынке услуг ЖКХ, % к опрошенным</w:t>
      </w:r>
    </w:p>
    <w:p w14:paraId="E3020000">
      <w:pPr>
        <w:spacing w:after="0"/>
        <w:ind/>
        <w:jc w:val="center"/>
        <w:rPr>
          <w:rFonts w:ascii="Times New Roman" w:hAnsi="Times New Roman"/>
          <w:sz w:val="28"/>
        </w:rPr>
      </w:pPr>
    </w:p>
    <w:p w14:paraId="E4020000">
      <w:pPr>
        <w:spacing w:after="0"/>
        <w:ind w:firstLine="709" w:left="0"/>
        <w:jc w:val="both"/>
        <w:rPr>
          <w:rFonts w:ascii="Times New Roman" w:hAnsi="Times New Roman"/>
          <w:sz w:val="28"/>
        </w:rPr>
      </w:pPr>
      <w:r>
        <w:rPr>
          <w:rFonts w:ascii="Times New Roman" w:hAnsi="Times New Roman"/>
          <w:sz w:val="28"/>
        </w:rPr>
        <w:t>Большая часть респондентов (</w:t>
      </w:r>
      <w:r>
        <w:rPr>
          <w:rFonts w:ascii="Times New Roman" w:hAnsi="Times New Roman"/>
          <w:sz w:val="28"/>
        </w:rPr>
        <w:t>60</w:t>
      </w:r>
      <w:r>
        <w:rPr>
          <w:rFonts w:ascii="Times New Roman" w:hAnsi="Times New Roman"/>
          <w:sz w:val="28"/>
        </w:rPr>
        <w:t xml:space="preserve">%), считают, что количество организаций, предоставляющих услуги на рынке ЖКХ, в течение последних 3 лет, не изменилось. Положительную динамику на этом рынке зафиксировали только </w:t>
      </w:r>
      <w:r>
        <w:rPr>
          <w:rFonts w:ascii="Times New Roman" w:hAnsi="Times New Roman"/>
          <w:sz w:val="28"/>
        </w:rPr>
        <w:t>7</w:t>
      </w:r>
      <w:r>
        <w:rPr>
          <w:rFonts w:ascii="Times New Roman" w:hAnsi="Times New Roman"/>
          <w:sz w:val="28"/>
        </w:rPr>
        <w:t>% респондентов,</w:t>
      </w:r>
      <w:r>
        <w:rPr>
          <w:rFonts w:ascii="Times New Roman" w:hAnsi="Times New Roman"/>
          <w:sz w:val="28"/>
        </w:rPr>
        <w:t xml:space="preserve"> 3% </w:t>
      </w:r>
      <w:r>
        <w:rPr>
          <w:rFonts w:ascii="Times New Roman" w:hAnsi="Times New Roman"/>
          <w:sz w:val="28"/>
        </w:rPr>
        <w:t>–</w:t>
      </w:r>
      <w:r>
        <w:rPr>
          <w:rFonts w:ascii="Times New Roman" w:hAnsi="Times New Roman"/>
          <w:sz w:val="28"/>
        </w:rPr>
        <w:t xml:space="preserve"> посчитали, что он снизился, </w:t>
      </w:r>
      <w:r>
        <w:rPr>
          <w:rFonts w:ascii="Times New Roman" w:hAnsi="Times New Roman"/>
          <w:sz w:val="28"/>
        </w:rPr>
        <w:t xml:space="preserve">а </w:t>
      </w:r>
      <w:r>
        <w:rPr>
          <w:rFonts w:ascii="Times New Roman" w:hAnsi="Times New Roman"/>
          <w:sz w:val="28"/>
        </w:rPr>
        <w:t>30</w:t>
      </w:r>
      <w:r>
        <w:rPr>
          <w:rFonts w:ascii="Times New Roman" w:hAnsi="Times New Roman"/>
          <w:sz w:val="28"/>
        </w:rPr>
        <w:t xml:space="preserve">% – </w:t>
      </w:r>
      <w:r>
        <w:rPr>
          <w:rFonts w:ascii="Times New Roman" w:hAnsi="Times New Roman"/>
          <w:sz w:val="28"/>
        </w:rPr>
        <w:t>затруднили ответить</w:t>
      </w:r>
      <w:r>
        <w:rPr>
          <w:rFonts w:ascii="Times New Roman" w:hAnsi="Times New Roman"/>
          <w:sz w:val="28"/>
        </w:rPr>
        <w:t>.</w:t>
      </w:r>
    </w:p>
    <w:p w14:paraId="E5020000">
      <w:pPr>
        <w:spacing w:after="0" w:line="240" w:lineRule="auto"/>
        <w:ind w:firstLine="709" w:left="0"/>
        <w:jc w:val="both"/>
        <w:rPr>
          <w:rFonts w:ascii="Times New Roman" w:hAnsi="Times New Roman"/>
          <w:sz w:val="28"/>
        </w:rPr>
      </w:pPr>
      <w:r>
        <w:rPr>
          <w:rFonts w:ascii="Times New Roman" w:hAnsi="Times New Roman"/>
          <w:sz w:val="28"/>
        </w:rPr>
        <w:t>65</w:t>
      </w:r>
      <w:r>
        <w:rPr>
          <w:rFonts w:ascii="Times New Roman" w:hAnsi="Times New Roman"/>
          <w:sz w:val="28"/>
        </w:rPr>
        <w:t xml:space="preserve">% респондентов высказали в той или иной мере неудовлетворенность уровнем цен на рынке услуг ЖКХ, </w:t>
      </w:r>
      <w:r>
        <w:rPr>
          <w:rFonts w:ascii="Times New Roman" w:hAnsi="Times New Roman"/>
          <w:sz w:val="28"/>
        </w:rPr>
        <w:t>67%</w:t>
      </w:r>
      <w:r>
        <w:rPr>
          <w:rFonts w:ascii="Times New Roman" w:hAnsi="Times New Roman"/>
          <w:sz w:val="28"/>
        </w:rPr>
        <w:t xml:space="preserve"> респондентов не удовлетворены в разной степени возможностью выбора п</w:t>
      </w:r>
      <w:r>
        <w:rPr>
          <w:rFonts w:ascii="Times New Roman" w:hAnsi="Times New Roman"/>
          <w:sz w:val="28"/>
        </w:rPr>
        <w:t>оставщиков услуг на этом рынке (рисунок 2.18).</w:t>
      </w:r>
    </w:p>
    <w:p w14:paraId="E6020000">
      <w:pPr>
        <w:spacing w:after="0" w:line="240" w:lineRule="auto"/>
        <w:ind w:firstLine="709" w:left="0"/>
        <w:jc w:val="both"/>
        <w:rPr>
          <w:rFonts w:ascii="Times New Roman" w:hAnsi="Times New Roman"/>
          <w:sz w:val="28"/>
        </w:rPr>
      </w:pPr>
      <w:r>
        <w:rPr>
          <w:rFonts w:ascii="Times New Roman" w:hAnsi="Times New Roman"/>
          <w:sz w:val="28"/>
        </w:rPr>
        <w:t>62</w:t>
      </w:r>
      <w:r>
        <w:rPr>
          <w:rFonts w:ascii="Times New Roman" w:hAnsi="Times New Roman"/>
          <w:sz w:val="28"/>
        </w:rPr>
        <w:t>% опрошенных отметили различного рода неудовлетворенность качеством жилищно-коммунальных услуг Аналогичная ситуация была отмечена в ходе опроса, проведенного в 20</w:t>
      </w:r>
      <w:r>
        <w:rPr>
          <w:rFonts w:ascii="Times New Roman" w:hAnsi="Times New Roman"/>
          <w:sz w:val="28"/>
        </w:rPr>
        <w:t>20 году.</w:t>
      </w:r>
    </w:p>
    <w:p w14:paraId="E7020000">
      <w:pPr>
        <w:pStyle w:val="Style_7"/>
        <w:ind/>
        <w:jc w:val="center"/>
        <w:rPr>
          <w:rFonts w:ascii="Times New Roman" w:hAnsi="Times New Roman"/>
          <w:b w:val="1"/>
        </w:rPr>
      </w:pPr>
    </w:p>
    <w:p w14:paraId="E8020000">
      <w:pPr>
        <w:pStyle w:val="Style_7"/>
        <w:ind/>
        <w:jc w:val="center"/>
        <w:rPr>
          <w:rFonts w:ascii="Times New Roman" w:hAnsi="Times New Roman"/>
          <w:b w:val="1"/>
        </w:rPr>
      </w:pPr>
    </w:p>
    <w:p w14:paraId="E9020000">
      <w:pPr>
        <w:pStyle w:val="Style_7"/>
        <w:ind/>
        <w:jc w:val="center"/>
        <w:rPr>
          <w:rFonts w:ascii="Times New Roman" w:hAnsi="Times New Roman"/>
          <w:b w:val="1"/>
        </w:rPr>
      </w:pPr>
    </w:p>
    <w:p w14:paraId="EA020000">
      <w:pPr>
        <w:pStyle w:val="Style_7"/>
        <w:ind/>
        <w:jc w:val="center"/>
        <w:rPr>
          <w:rFonts w:ascii="Times New Roman" w:hAnsi="Times New Roman"/>
          <w:b w:val="1"/>
        </w:rPr>
      </w:pPr>
      <w:r>
        <w:rPr>
          <w:rFonts w:ascii="Times New Roman" w:hAnsi="Times New Roman"/>
          <w:b w:val="1"/>
        </w:rPr>
        <w:t>Уровень цен</w:t>
      </w:r>
    </w:p>
    <w:p w14:paraId="EB020000">
      <w:pPr>
        <w:pStyle w:val="Style_7"/>
        <w:ind/>
        <w:jc w:val="center"/>
        <w:rPr>
          <w:rFonts w:ascii="Times New Roman" w:hAnsi="Times New Roman"/>
          <w:b w:val="1"/>
        </w:rPr>
      </w:pPr>
      <w:r>
        <w:rPr>
          <w:rFonts w:ascii="Times New Roman" w:hAnsi="Times New Roman"/>
          <w:b w:val="1"/>
        </w:rPr>
        <w:drawing>
          <wp:inline>
            <wp:extent cx="4590415" cy="2749550"/>
            <wp:docPr hidden="false" id="84" name="Picture 84"/>
            <a:graphic>
              <a:graphicData uri="http://schemas.openxmlformats.org/drawingml/2006/picture">
                <pic:pic>
                  <pic:nvPicPr>
                    <pic:cNvPr hidden="false" id="83" name="Picture 83"/>
                    <pic:cNvPicPr preferRelativeResize="true"/>
                  </pic:nvPicPr>
                  <pic:blipFill>
                    <a:blip r:embed="rId45"/>
                    <a:srcRect b="0" l="0" r="0" t="0"/>
                    <a:stretch/>
                  </pic:blipFill>
                  <pic:spPr>
                    <a:xfrm flipH="false" flipV="false" rot="0">
                      <a:ext cx="4590415" cy="2749550"/>
                    </a:xfrm>
                    <a:prstGeom prst="rect"/>
                  </pic:spPr>
                </pic:pic>
              </a:graphicData>
            </a:graphic>
          </wp:inline>
        </w:drawing>
      </w:r>
    </w:p>
    <w:p w14:paraId="EC020000">
      <w:pPr>
        <w:pStyle w:val="Style_7"/>
        <w:ind/>
        <w:jc w:val="center"/>
        <w:rPr>
          <w:rFonts w:ascii="Times New Roman" w:hAnsi="Times New Roman"/>
          <w:b w:val="1"/>
        </w:rPr>
      </w:pPr>
      <w:r>
        <w:rPr>
          <w:rFonts w:ascii="Times New Roman" w:hAnsi="Times New Roman"/>
          <w:b w:val="1"/>
        </w:rPr>
        <w:t>Качество</w:t>
      </w:r>
    </w:p>
    <w:p w14:paraId="ED020000">
      <w:pPr>
        <w:pStyle w:val="Style_7"/>
        <w:ind/>
        <w:jc w:val="center"/>
        <w:rPr>
          <w:rFonts w:ascii="Times New Roman" w:hAnsi="Times New Roman"/>
          <w:b w:val="1"/>
        </w:rPr>
      </w:pPr>
      <w:r>
        <w:rPr>
          <w:rFonts w:ascii="Times New Roman" w:hAnsi="Times New Roman"/>
          <w:b w:val="1"/>
        </w:rPr>
        <w:drawing>
          <wp:inline>
            <wp:extent cx="4590415" cy="2749550"/>
            <wp:docPr hidden="false" id="86" name="Picture 86"/>
            <a:graphic>
              <a:graphicData uri="http://schemas.openxmlformats.org/drawingml/2006/picture">
                <pic:pic>
                  <pic:nvPicPr>
                    <pic:cNvPr hidden="false" id="85" name="Picture 85"/>
                    <pic:cNvPicPr preferRelativeResize="true"/>
                  </pic:nvPicPr>
                  <pic:blipFill>
                    <a:blip r:embed="rId46"/>
                    <a:srcRect b="0" l="0" r="0" t="0"/>
                    <a:stretch/>
                  </pic:blipFill>
                  <pic:spPr>
                    <a:xfrm flipH="false" flipV="false" rot="0">
                      <a:ext cx="4590415" cy="2749550"/>
                    </a:xfrm>
                    <a:prstGeom prst="rect"/>
                  </pic:spPr>
                </pic:pic>
              </a:graphicData>
            </a:graphic>
          </wp:inline>
        </w:drawing>
      </w:r>
    </w:p>
    <w:p w14:paraId="EE020000">
      <w:pPr>
        <w:pStyle w:val="Style_7"/>
        <w:ind/>
        <w:jc w:val="center"/>
        <w:rPr>
          <w:rFonts w:ascii="Times New Roman" w:hAnsi="Times New Roman"/>
          <w:b w:val="1"/>
        </w:rPr>
      </w:pPr>
      <w:r>
        <w:rPr>
          <w:rFonts w:ascii="Times New Roman" w:hAnsi="Times New Roman"/>
          <w:b w:val="1"/>
        </w:rPr>
        <w:t>Возможность выбора</w:t>
      </w:r>
    </w:p>
    <w:p w14:paraId="EF020000">
      <w:pPr>
        <w:spacing w:after="0"/>
        <w:ind/>
        <w:jc w:val="center"/>
        <w:rPr>
          <w:rFonts w:ascii="Times New Roman" w:hAnsi="Times New Roman"/>
          <w:sz w:val="28"/>
        </w:rPr>
      </w:pPr>
      <w:r>
        <w:rPr>
          <w:rFonts w:ascii="Times New Roman" w:hAnsi="Times New Roman"/>
          <w:sz w:val="28"/>
        </w:rPr>
        <w:drawing>
          <wp:inline>
            <wp:extent cx="4590415" cy="2749550"/>
            <wp:docPr hidden="false" id="88" name="Picture 88"/>
            <a:graphic>
              <a:graphicData uri="http://schemas.openxmlformats.org/drawingml/2006/picture">
                <pic:pic>
                  <pic:nvPicPr>
                    <pic:cNvPr hidden="false" id="87" name="Picture 87"/>
                    <pic:cNvPicPr preferRelativeResize="true"/>
                  </pic:nvPicPr>
                  <pic:blipFill>
                    <a:blip r:embed="rId47"/>
                    <a:srcRect b="0" l="0" r="0" t="0"/>
                    <a:stretch/>
                  </pic:blipFill>
                  <pic:spPr>
                    <a:xfrm flipH="false" flipV="false" rot="0">
                      <a:ext cx="4590415" cy="2749550"/>
                    </a:xfrm>
                    <a:prstGeom prst="rect"/>
                  </pic:spPr>
                </pic:pic>
              </a:graphicData>
            </a:graphic>
          </wp:inline>
        </w:drawing>
      </w:r>
    </w:p>
    <w:p w14:paraId="F0020000">
      <w:pPr>
        <w:spacing w:after="0"/>
        <w:ind/>
        <w:jc w:val="center"/>
        <w:rPr>
          <w:rFonts w:ascii="Times New Roman" w:hAnsi="Times New Roman"/>
          <w:sz w:val="28"/>
        </w:rPr>
      </w:pPr>
    </w:p>
    <w:p w14:paraId="F102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18</w:t>
      </w:r>
      <w:r>
        <w:rPr>
          <w:rFonts w:ascii="Times New Roman" w:hAnsi="Times New Roman"/>
          <w:sz w:val="20"/>
        </w:rPr>
        <w:t>. Степень удовлетворенности потребителей характеристиками продукции на рынке услуг жилищно-коммунального хозяйства, % к опрошенным</w:t>
      </w:r>
    </w:p>
    <w:p w14:paraId="F2020000">
      <w:pPr>
        <w:spacing w:after="0"/>
        <w:ind/>
        <w:jc w:val="center"/>
        <w:rPr>
          <w:rFonts w:ascii="Times New Roman" w:hAnsi="Times New Roman"/>
          <w:sz w:val="28"/>
        </w:rPr>
      </w:pPr>
    </w:p>
    <w:p w14:paraId="F3020000">
      <w:pPr>
        <w:spacing w:after="0" w:line="240" w:lineRule="auto"/>
        <w:ind w:firstLine="709" w:left="0"/>
        <w:jc w:val="both"/>
        <w:rPr>
          <w:rFonts w:ascii="Times New Roman" w:hAnsi="Times New Roman"/>
          <w:sz w:val="28"/>
        </w:rPr>
      </w:pPr>
      <w:r>
        <w:rPr>
          <w:rFonts w:ascii="Times New Roman" w:hAnsi="Times New Roman"/>
          <w:sz w:val="28"/>
        </w:rPr>
        <w:t>Таким образом, рынок услуг жилищно-коммунального хозяйства представлен</w:t>
      </w:r>
      <w:r>
        <w:rPr>
          <w:rFonts w:ascii="Times New Roman" w:hAnsi="Times New Roman"/>
          <w:sz w:val="28"/>
        </w:rPr>
        <w:t>ный</w:t>
      </w:r>
      <w:r>
        <w:rPr>
          <w:rFonts w:ascii="Times New Roman" w:hAnsi="Times New Roman"/>
          <w:sz w:val="28"/>
        </w:rPr>
        <w:t xml:space="preserve"> в городе, по мнению опрощенных, </w:t>
      </w:r>
      <w:r>
        <w:rPr>
          <w:rFonts w:ascii="Times New Roman" w:hAnsi="Times New Roman"/>
          <w:sz w:val="28"/>
        </w:rPr>
        <w:t>достаточно</w:t>
      </w:r>
      <w:r>
        <w:rPr>
          <w:rFonts w:ascii="Times New Roman" w:hAnsi="Times New Roman"/>
          <w:sz w:val="28"/>
        </w:rPr>
        <w:t xml:space="preserve"> развит.</w:t>
      </w:r>
      <w:r>
        <w:rPr>
          <w:rFonts w:ascii="Times New Roman" w:hAnsi="Times New Roman"/>
          <w:sz w:val="28"/>
        </w:rPr>
        <w:t xml:space="preserve"> Об изменении у</w:t>
      </w:r>
      <w:r>
        <w:rPr>
          <w:rFonts w:ascii="Times New Roman" w:hAnsi="Times New Roman"/>
          <w:sz w:val="28"/>
        </w:rPr>
        <w:t>ровн</w:t>
      </w:r>
      <w:r>
        <w:rPr>
          <w:rFonts w:ascii="Times New Roman" w:hAnsi="Times New Roman"/>
          <w:sz w:val="28"/>
        </w:rPr>
        <w:t>я</w:t>
      </w:r>
      <w:r>
        <w:rPr>
          <w:rFonts w:ascii="Times New Roman" w:hAnsi="Times New Roman"/>
          <w:sz w:val="28"/>
        </w:rPr>
        <w:t xml:space="preserve"> конкуренции на нем </w:t>
      </w:r>
      <w:r>
        <w:rPr>
          <w:rFonts w:ascii="Times New Roman" w:hAnsi="Times New Roman"/>
          <w:sz w:val="28"/>
        </w:rPr>
        <w:t xml:space="preserve">треть опрощенных затруднились ответить. </w:t>
      </w:r>
      <w:r>
        <w:rPr>
          <w:rFonts w:ascii="Times New Roman" w:hAnsi="Times New Roman"/>
          <w:sz w:val="28"/>
        </w:rPr>
        <w:t>Уровень конкуренции на нем практически не изменился за последние три года, в связи с этим организации, действующие на данном рынке, устанавливают высокие цены</w:t>
      </w:r>
      <w:r>
        <w:rPr>
          <w:rFonts w:ascii="Times New Roman" w:hAnsi="Times New Roman"/>
          <w:sz w:val="28"/>
        </w:rPr>
        <w:t xml:space="preserve"> и не заботятся о качестве оказываемых услуг</w:t>
      </w:r>
      <w:r>
        <w:rPr>
          <w:rFonts w:ascii="Times New Roman" w:hAnsi="Times New Roman"/>
          <w:sz w:val="28"/>
        </w:rPr>
        <w:t>.</w:t>
      </w:r>
    </w:p>
    <w:p w14:paraId="F4020000">
      <w:pPr>
        <w:spacing w:after="0"/>
        <w:ind/>
        <w:jc w:val="center"/>
        <w:rPr>
          <w:rFonts w:ascii="Times New Roman" w:hAnsi="Times New Roman"/>
          <w:b w:val="1"/>
          <w:sz w:val="28"/>
          <w:u w:val="single"/>
        </w:rPr>
      </w:pPr>
      <w:r>
        <w:rPr>
          <w:rFonts w:ascii="Times New Roman" w:hAnsi="Times New Roman"/>
          <w:b w:val="1"/>
          <w:sz w:val="28"/>
          <w:u w:val="single"/>
        </w:rPr>
        <w:t>6</w:t>
      </w:r>
      <w:r>
        <w:rPr>
          <w:rFonts w:ascii="Times New Roman" w:hAnsi="Times New Roman"/>
          <w:b w:val="1"/>
          <w:sz w:val="28"/>
          <w:u w:val="single"/>
        </w:rPr>
        <w:t>. Рынок розничной торговли</w:t>
      </w:r>
    </w:p>
    <w:p w14:paraId="F5020000">
      <w:pPr>
        <w:spacing w:after="0"/>
        <w:ind w:firstLine="709" w:left="0"/>
        <w:jc w:val="both"/>
        <w:rPr>
          <w:rFonts w:ascii="Times New Roman" w:hAnsi="Times New Roman"/>
          <w:sz w:val="28"/>
        </w:rPr>
      </w:pPr>
    </w:p>
    <w:p w14:paraId="F6020000">
      <w:pPr>
        <w:spacing w:after="0"/>
        <w:ind w:firstLine="709" w:left="0"/>
        <w:jc w:val="both"/>
        <w:rPr>
          <w:rFonts w:ascii="Times New Roman" w:hAnsi="Times New Roman"/>
          <w:sz w:val="28"/>
        </w:rPr>
      </w:pPr>
      <w:r>
        <w:rPr>
          <w:rFonts w:ascii="Times New Roman" w:hAnsi="Times New Roman"/>
          <w:sz w:val="28"/>
        </w:rPr>
        <w:t xml:space="preserve">Достаточно развитым рынок розничной торговли назвали </w:t>
      </w:r>
      <w:r>
        <w:rPr>
          <w:rFonts w:ascii="Times New Roman" w:hAnsi="Times New Roman"/>
          <w:sz w:val="28"/>
        </w:rPr>
        <w:t>58</w:t>
      </w:r>
      <w:r>
        <w:rPr>
          <w:rFonts w:ascii="Times New Roman" w:hAnsi="Times New Roman"/>
          <w:sz w:val="28"/>
        </w:rPr>
        <w:t xml:space="preserve">% респондентов. Об избыточном количестве (много) организаций, представляющих данный рынок услуг, говорили </w:t>
      </w:r>
      <w:r>
        <w:rPr>
          <w:rFonts w:ascii="Times New Roman" w:hAnsi="Times New Roman"/>
          <w:sz w:val="28"/>
        </w:rPr>
        <w:t>25</w:t>
      </w:r>
      <w:r>
        <w:rPr>
          <w:rFonts w:ascii="Times New Roman" w:hAnsi="Times New Roman"/>
          <w:sz w:val="28"/>
        </w:rPr>
        <w:t xml:space="preserve">% опрошенных, а о малом – </w:t>
      </w:r>
      <w:r>
        <w:rPr>
          <w:rFonts w:ascii="Times New Roman" w:hAnsi="Times New Roman"/>
          <w:sz w:val="28"/>
        </w:rPr>
        <w:t>14</w:t>
      </w:r>
      <w:r>
        <w:rPr>
          <w:rFonts w:ascii="Times New Roman" w:hAnsi="Times New Roman"/>
          <w:sz w:val="28"/>
        </w:rPr>
        <w:t>%</w:t>
      </w:r>
      <w:r>
        <w:rPr>
          <w:rFonts w:ascii="Times New Roman" w:hAnsi="Times New Roman"/>
          <w:sz w:val="28"/>
        </w:rPr>
        <w:t>, при этом – 3,0% опрощенных высказали мнение, что его нет совсем</w:t>
      </w:r>
      <w:r>
        <w:rPr>
          <w:rFonts w:ascii="Times New Roman" w:hAnsi="Times New Roman"/>
          <w:sz w:val="28"/>
        </w:rPr>
        <w:t xml:space="preserve"> (рисунок 2.</w:t>
      </w:r>
      <w:r>
        <w:rPr>
          <w:rFonts w:ascii="Times New Roman" w:hAnsi="Times New Roman"/>
          <w:sz w:val="28"/>
        </w:rPr>
        <w:t>19</w:t>
      </w:r>
      <w:r>
        <w:rPr>
          <w:rFonts w:ascii="Times New Roman" w:hAnsi="Times New Roman"/>
          <w:sz w:val="28"/>
        </w:rPr>
        <w:t xml:space="preserve">.). </w:t>
      </w:r>
    </w:p>
    <w:p w14:paraId="F7020000">
      <w:pPr>
        <w:spacing w:after="0"/>
        <w:ind/>
        <w:jc w:val="center"/>
        <w:rPr>
          <w:rFonts w:ascii="Times New Roman" w:hAnsi="Times New Roman"/>
          <w:b w:val="1"/>
          <w:sz w:val="28"/>
        </w:rPr>
      </w:pPr>
      <w:r>
        <w:rPr>
          <w:rFonts w:ascii="Times New Roman" w:hAnsi="Times New Roman"/>
          <w:b w:val="1"/>
          <w:sz w:val="28"/>
        </w:rPr>
        <w:drawing>
          <wp:inline>
            <wp:extent cx="4590415" cy="2749550"/>
            <wp:docPr hidden="false" id="90" name="Picture 90"/>
            <a:graphic>
              <a:graphicData uri="http://schemas.openxmlformats.org/drawingml/2006/picture">
                <pic:pic>
                  <pic:nvPicPr>
                    <pic:cNvPr hidden="false" id="89" name="Picture 89"/>
                    <pic:cNvPicPr preferRelativeResize="true"/>
                  </pic:nvPicPr>
                  <pic:blipFill>
                    <a:blip r:embed="rId48"/>
                    <a:srcRect b="0" l="0" r="0" t="0"/>
                    <a:stretch/>
                  </pic:blipFill>
                  <pic:spPr>
                    <a:xfrm flipH="false" flipV="false" rot="0">
                      <a:ext cx="4590415" cy="2749550"/>
                    </a:xfrm>
                    <a:prstGeom prst="rect"/>
                  </pic:spPr>
                </pic:pic>
              </a:graphicData>
            </a:graphic>
          </wp:inline>
        </w:drawing>
      </w:r>
    </w:p>
    <w:p w14:paraId="F802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19</w:t>
      </w:r>
      <w:r>
        <w:rPr>
          <w:rFonts w:ascii="Times New Roman" w:hAnsi="Times New Roman"/>
          <w:sz w:val="20"/>
        </w:rPr>
        <w:t>. Количество организаций на рынке розничной торговли, % к опрошенным</w:t>
      </w:r>
    </w:p>
    <w:p w14:paraId="F9020000">
      <w:pPr>
        <w:spacing w:after="0"/>
        <w:ind w:firstLine="709" w:left="0"/>
        <w:jc w:val="both"/>
        <w:rPr>
          <w:rFonts w:ascii="Times New Roman" w:hAnsi="Times New Roman"/>
          <w:sz w:val="28"/>
        </w:rPr>
      </w:pPr>
    </w:p>
    <w:p w14:paraId="FA020000">
      <w:pPr>
        <w:spacing w:after="0"/>
        <w:ind w:firstLine="709" w:left="0"/>
        <w:jc w:val="both"/>
        <w:rPr>
          <w:rFonts w:ascii="Times New Roman" w:hAnsi="Times New Roman"/>
          <w:sz w:val="28"/>
        </w:rPr>
      </w:pPr>
      <w:r>
        <w:rPr>
          <w:rFonts w:ascii="Times New Roman" w:hAnsi="Times New Roman"/>
          <w:sz w:val="28"/>
        </w:rPr>
        <w:t>36</w:t>
      </w:r>
      <w:r>
        <w:rPr>
          <w:rFonts w:ascii="Times New Roman" w:hAnsi="Times New Roman"/>
          <w:sz w:val="28"/>
        </w:rPr>
        <w:t>%</w:t>
      </w:r>
      <w:r>
        <w:rPr>
          <w:rFonts w:ascii="Times New Roman" w:hAnsi="Times New Roman"/>
          <w:sz w:val="28"/>
        </w:rPr>
        <w:t xml:space="preserve"> респондентов</w:t>
      </w:r>
      <w:r>
        <w:rPr>
          <w:rFonts w:ascii="Times New Roman" w:hAnsi="Times New Roman"/>
          <w:sz w:val="28"/>
        </w:rPr>
        <w:t xml:space="preserve"> отметили увеличени</w:t>
      </w:r>
      <w:r>
        <w:rPr>
          <w:rFonts w:ascii="Times New Roman" w:hAnsi="Times New Roman"/>
          <w:sz w:val="28"/>
        </w:rPr>
        <w:t>е</w:t>
      </w:r>
      <w:r>
        <w:rPr>
          <w:rFonts w:ascii="Times New Roman" w:hAnsi="Times New Roman"/>
          <w:sz w:val="28"/>
        </w:rPr>
        <w:t xml:space="preserve"> количества организаций, предоставляющих услуги на рынке розничной торговли, а </w:t>
      </w:r>
      <w:r>
        <w:rPr>
          <w:rFonts w:ascii="Times New Roman" w:hAnsi="Times New Roman"/>
          <w:sz w:val="28"/>
        </w:rPr>
        <w:t>44</w:t>
      </w:r>
      <w:r>
        <w:rPr>
          <w:rFonts w:ascii="Times New Roman" w:hAnsi="Times New Roman"/>
          <w:sz w:val="28"/>
        </w:rPr>
        <w:t>,0</w:t>
      </w:r>
      <w:r>
        <w:rPr>
          <w:rFonts w:ascii="Times New Roman" w:hAnsi="Times New Roman"/>
          <w:sz w:val="28"/>
        </w:rPr>
        <w:t>% посчитали, что он не изменился</w:t>
      </w:r>
      <w:r>
        <w:rPr>
          <w:rFonts w:ascii="Times New Roman" w:hAnsi="Times New Roman"/>
          <w:sz w:val="28"/>
        </w:rPr>
        <w:t xml:space="preserve">. При этом </w:t>
      </w:r>
      <w:r>
        <w:rPr>
          <w:rFonts w:ascii="Times New Roman" w:hAnsi="Times New Roman"/>
          <w:sz w:val="28"/>
        </w:rPr>
        <w:t>10%</w:t>
      </w:r>
      <w:r>
        <w:rPr>
          <w:rFonts w:ascii="Times New Roman" w:hAnsi="Times New Roman"/>
          <w:sz w:val="28"/>
        </w:rPr>
        <w:t xml:space="preserve"> опрощенных проинформировали, что, по их мнению, количество организаций снизилось</w:t>
      </w:r>
      <w:r>
        <w:rPr>
          <w:rFonts w:ascii="Times New Roman" w:hAnsi="Times New Roman"/>
          <w:sz w:val="28"/>
        </w:rPr>
        <w:t>, а 10% опрощенных затруднились ответить</w:t>
      </w:r>
      <w:r>
        <w:rPr>
          <w:rFonts w:ascii="Times New Roman" w:hAnsi="Times New Roman"/>
          <w:sz w:val="28"/>
        </w:rPr>
        <w:t>.</w:t>
      </w:r>
    </w:p>
    <w:p w14:paraId="FB020000">
      <w:pPr>
        <w:spacing w:after="0"/>
        <w:ind w:firstLine="709" w:left="0"/>
        <w:jc w:val="both"/>
        <w:rPr>
          <w:rFonts w:ascii="Times New Roman" w:hAnsi="Times New Roman"/>
          <w:sz w:val="28"/>
        </w:rPr>
      </w:pPr>
      <w:r>
        <w:rPr>
          <w:rFonts w:ascii="Times New Roman" w:hAnsi="Times New Roman"/>
          <w:sz w:val="28"/>
        </w:rPr>
        <w:t xml:space="preserve">Качеством услуг, предоставляемых на рынке розничной торговли, скорее </w:t>
      </w:r>
      <w:r>
        <w:rPr>
          <w:rFonts w:ascii="Times New Roman" w:hAnsi="Times New Roman"/>
          <w:sz w:val="28"/>
        </w:rPr>
        <w:t xml:space="preserve">не </w:t>
      </w:r>
      <w:r>
        <w:rPr>
          <w:rFonts w:ascii="Times New Roman" w:hAnsi="Times New Roman"/>
          <w:sz w:val="28"/>
        </w:rPr>
        <w:t xml:space="preserve">удовлетворены </w:t>
      </w:r>
      <w:r>
        <w:rPr>
          <w:rFonts w:ascii="Times New Roman" w:hAnsi="Times New Roman"/>
          <w:sz w:val="28"/>
        </w:rPr>
        <w:t>52</w:t>
      </w:r>
      <w:r>
        <w:rPr>
          <w:rFonts w:ascii="Times New Roman" w:hAnsi="Times New Roman"/>
          <w:sz w:val="28"/>
        </w:rPr>
        <w:t xml:space="preserve">% респондентов, возможностью выбора данных услуг </w:t>
      </w:r>
      <w:r>
        <w:rPr>
          <w:rFonts w:ascii="Times New Roman" w:hAnsi="Times New Roman"/>
          <w:sz w:val="28"/>
        </w:rPr>
        <w:t>36</w:t>
      </w:r>
      <w:r>
        <w:rPr>
          <w:rFonts w:ascii="Times New Roman" w:hAnsi="Times New Roman"/>
          <w:sz w:val="28"/>
        </w:rPr>
        <w:t xml:space="preserve">%, а уровнем цен – </w:t>
      </w:r>
      <w:r>
        <w:rPr>
          <w:rFonts w:ascii="Times New Roman" w:hAnsi="Times New Roman"/>
          <w:sz w:val="28"/>
        </w:rPr>
        <w:t>46</w:t>
      </w:r>
      <w:r>
        <w:rPr>
          <w:rFonts w:ascii="Times New Roman" w:hAnsi="Times New Roman"/>
          <w:sz w:val="28"/>
        </w:rPr>
        <w:t xml:space="preserve">%. </w:t>
      </w:r>
      <w:r>
        <w:rPr>
          <w:rFonts w:ascii="Times New Roman" w:hAnsi="Times New Roman"/>
          <w:sz w:val="28"/>
        </w:rPr>
        <w:t>У</w:t>
      </w:r>
      <w:r>
        <w:rPr>
          <w:rFonts w:ascii="Times New Roman" w:hAnsi="Times New Roman"/>
          <w:sz w:val="28"/>
        </w:rPr>
        <w:t xml:space="preserve">довлетворены уровнем цен, качеством и возможностью выбора предоставляемых услуг на рынке розничной торговли </w:t>
      </w:r>
      <w:r>
        <w:rPr>
          <w:rFonts w:ascii="Times New Roman" w:hAnsi="Times New Roman"/>
          <w:sz w:val="28"/>
        </w:rPr>
        <w:t>19</w:t>
      </w:r>
      <w:r>
        <w:rPr>
          <w:rFonts w:ascii="Times New Roman" w:hAnsi="Times New Roman"/>
          <w:sz w:val="28"/>
        </w:rPr>
        <w:t xml:space="preserve">%, </w:t>
      </w:r>
      <w:r>
        <w:rPr>
          <w:rFonts w:ascii="Times New Roman" w:hAnsi="Times New Roman"/>
          <w:sz w:val="28"/>
        </w:rPr>
        <w:t>12</w:t>
      </w:r>
      <w:r>
        <w:rPr>
          <w:rFonts w:ascii="Times New Roman" w:hAnsi="Times New Roman"/>
          <w:sz w:val="28"/>
        </w:rPr>
        <w:t xml:space="preserve">% и </w:t>
      </w:r>
      <w:r>
        <w:rPr>
          <w:rFonts w:ascii="Times New Roman" w:hAnsi="Times New Roman"/>
          <w:sz w:val="28"/>
        </w:rPr>
        <w:t>31</w:t>
      </w:r>
      <w:r>
        <w:rPr>
          <w:rFonts w:ascii="Times New Roman" w:hAnsi="Times New Roman"/>
          <w:sz w:val="28"/>
        </w:rPr>
        <w:t>% соответственно (рисунок 2.</w:t>
      </w:r>
      <w:r>
        <w:rPr>
          <w:rFonts w:ascii="Times New Roman" w:hAnsi="Times New Roman"/>
          <w:sz w:val="28"/>
        </w:rPr>
        <w:t>20</w:t>
      </w:r>
      <w:r>
        <w:rPr>
          <w:rFonts w:ascii="Times New Roman" w:hAnsi="Times New Roman"/>
          <w:sz w:val="28"/>
        </w:rPr>
        <w:t>.).</w:t>
      </w:r>
    </w:p>
    <w:p w14:paraId="FC020000">
      <w:pPr>
        <w:spacing w:after="0"/>
        <w:ind w:firstLine="709" w:left="0"/>
        <w:jc w:val="center"/>
        <w:rPr>
          <w:rFonts w:ascii="Times New Roman" w:hAnsi="Times New Roman"/>
          <w:b w:val="1"/>
          <w:sz w:val="28"/>
        </w:rPr>
      </w:pPr>
    </w:p>
    <w:p w14:paraId="FD020000">
      <w:pPr>
        <w:spacing w:after="0"/>
        <w:ind w:firstLine="709" w:left="0"/>
        <w:jc w:val="center"/>
        <w:rPr>
          <w:rFonts w:ascii="Times New Roman" w:hAnsi="Times New Roman"/>
          <w:b w:val="1"/>
          <w:sz w:val="28"/>
        </w:rPr>
      </w:pPr>
    </w:p>
    <w:p w14:paraId="FE020000">
      <w:pPr>
        <w:spacing w:after="0"/>
        <w:ind w:firstLine="709" w:left="0"/>
        <w:jc w:val="center"/>
        <w:rPr>
          <w:rFonts w:ascii="Times New Roman" w:hAnsi="Times New Roman"/>
          <w:b w:val="1"/>
          <w:sz w:val="28"/>
        </w:rPr>
      </w:pPr>
    </w:p>
    <w:p w14:paraId="FF020000">
      <w:pPr>
        <w:spacing w:after="0"/>
        <w:ind w:firstLine="709" w:left="0"/>
        <w:jc w:val="center"/>
        <w:rPr>
          <w:rFonts w:ascii="Times New Roman" w:hAnsi="Times New Roman"/>
          <w:b w:val="1"/>
          <w:sz w:val="28"/>
        </w:rPr>
      </w:pPr>
    </w:p>
    <w:p w14:paraId="00030000">
      <w:pPr>
        <w:spacing w:after="0"/>
        <w:ind w:firstLine="709" w:left="0"/>
        <w:jc w:val="center"/>
        <w:rPr>
          <w:rFonts w:ascii="Times New Roman" w:hAnsi="Times New Roman"/>
          <w:b w:val="1"/>
          <w:sz w:val="28"/>
        </w:rPr>
      </w:pPr>
      <w:r>
        <w:rPr>
          <w:rFonts w:ascii="Times New Roman" w:hAnsi="Times New Roman"/>
          <w:b w:val="1"/>
          <w:sz w:val="28"/>
        </w:rPr>
        <w:t>Уровень цен</w:t>
      </w:r>
    </w:p>
    <w:p w14:paraId="01030000">
      <w:pPr>
        <w:spacing w:after="0"/>
        <w:ind w:firstLine="709" w:left="0"/>
        <w:jc w:val="center"/>
        <w:rPr>
          <w:rFonts w:ascii="Times New Roman" w:hAnsi="Times New Roman"/>
          <w:b w:val="1"/>
          <w:sz w:val="28"/>
        </w:rPr>
      </w:pPr>
      <w:r>
        <w:rPr>
          <w:rFonts w:ascii="Times New Roman" w:hAnsi="Times New Roman"/>
          <w:b w:val="1"/>
          <w:sz w:val="28"/>
        </w:rPr>
        <w:drawing>
          <wp:inline>
            <wp:extent cx="4590415" cy="2749550"/>
            <wp:docPr hidden="false" id="92" name="Picture 92"/>
            <a:graphic>
              <a:graphicData uri="http://schemas.openxmlformats.org/drawingml/2006/picture">
                <pic:pic>
                  <pic:nvPicPr>
                    <pic:cNvPr hidden="false" id="91" name="Picture 91"/>
                    <pic:cNvPicPr preferRelativeResize="true"/>
                  </pic:nvPicPr>
                  <pic:blipFill>
                    <a:blip r:embed="rId49"/>
                    <a:srcRect b="0" l="0" r="0" t="0"/>
                    <a:stretch/>
                  </pic:blipFill>
                  <pic:spPr>
                    <a:xfrm flipH="false" flipV="false" rot="0">
                      <a:ext cx="4590415" cy="2749550"/>
                    </a:xfrm>
                    <a:prstGeom prst="rect"/>
                  </pic:spPr>
                </pic:pic>
              </a:graphicData>
            </a:graphic>
          </wp:inline>
        </w:drawing>
      </w:r>
    </w:p>
    <w:p w14:paraId="02030000">
      <w:pPr>
        <w:spacing w:after="0"/>
        <w:ind w:firstLine="709" w:left="0"/>
        <w:jc w:val="center"/>
        <w:rPr>
          <w:rFonts w:ascii="Times New Roman" w:hAnsi="Times New Roman"/>
          <w:b w:val="1"/>
          <w:sz w:val="28"/>
        </w:rPr>
      </w:pPr>
      <w:r>
        <w:rPr>
          <w:rFonts w:ascii="Times New Roman" w:hAnsi="Times New Roman"/>
          <w:b w:val="1"/>
          <w:sz w:val="28"/>
        </w:rPr>
        <w:t>Качество</w:t>
      </w:r>
    </w:p>
    <w:p w14:paraId="03030000">
      <w:pPr>
        <w:spacing w:after="0"/>
        <w:ind w:firstLine="709" w:left="0"/>
        <w:jc w:val="center"/>
        <w:rPr>
          <w:rFonts w:ascii="Times New Roman" w:hAnsi="Times New Roman"/>
          <w:b w:val="1"/>
          <w:sz w:val="28"/>
        </w:rPr>
      </w:pPr>
      <w:r>
        <w:rPr>
          <w:rFonts w:ascii="Times New Roman" w:hAnsi="Times New Roman"/>
          <w:b w:val="1"/>
          <w:sz w:val="28"/>
        </w:rPr>
        <w:drawing>
          <wp:inline>
            <wp:extent cx="4590415" cy="2749550"/>
            <wp:docPr hidden="false" id="94" name="Picture 94"/>
            <a:graphic>
              <a:graphicData uri="http://schemas.openxmlformats.org/drawingml/2006/picture">
                <pic:pic>
                  <pic:nvPicPr>
                    <pic:cNvPr hidden="false" id="93" name="Picture 93"/>
                    <pic:cNvPicPr preferRelativeResize="true"/>
                  </pic:nvPicPr>
                  <pic:blipFill>
                    <a:blip r:embed="rId50"/>
                    <a:srcRect b="0" l="0" r="0" t="0"/>
                    <a:stretch/>
                  </pic:blipFill>
                  <pic:spPr>
                    <a:xfrm flipH="false" flipV="false" rot="0">
                      <a:ext cx="4590415" cy="2749550"/>
                    </a:xfrm>
                    <a:prstGeom prst="rect"/>
                  </pic:spPr>
                </pic:pic>
              </a:graphicData>
            </a:graphic>
          </wp:inline>
        </w:drawing>
      </w:r>
    </w:p>
    <w:p w14:paraId="04030000">
      <w:pPr>
        <w:spacing w:after="0"/>
        <w:ind w:firstLine="709" w:left="0"/>
        <w:jc w:val="center"/>
        <w:rPr>
          <w:rFonts w:ascii="Times New Roman" w:hAnsi="Times New Roman"/>
          <w:b w:val="1"/>
          <w:sz w:val="28"/>
        </w:rPr>
      </w:pPr>
      <w:r>
        <w:rPr>
          <w:rFonts w:ascii="Times New Roman" w:hAnsi="Times New Roman"/>
          <w:b w:val="1"/>
          <w:sz w:val="28"/>
        </w:rPr>
        <w:t>Возможность выбора</w:t>
      </w:r>
    </w:p>
    <w:p w14:paraId="05030000">
      <w:pPr>
        <w:spacing w:after="0"/>
        <w:ind w:firstLine="1560" w:left="0"/>
        <w:jc w:val="both"/>
        <w:rPr>
          <w:rFonts w:ascii="Times New Roman" w:hAnsi="Times New Roman"/>
          <w:sz w:val="28"/>
        </w:rPr>
      </w:pPr>
      <w:r>
        <w:rPr>
          <w:rFonts w:ascii="Times New Roman" w:hAnsi="Times New Roman"/>
          <w:sz w:val="28"/>
        </w:rPr>
        <w:drawing>
          <wp:inline>
            <wp:extent cx="4590415" cy="2749550"/>
            <wp:docPr hidden="false" id="96" name="Picture 96"/>
            <a:graphic>
              <a:graphicData uri="http://schemas.openxmlformats.org/drawingml/2006/picture">
                <pic:pic>
                  <pic:nvPicPr>
                    <pic:cNvPr hidden="false" id="95" name="Picture 95"/>
                    <pic:cNvPicPr preferRelativeResize="true"/>
                  </pic:nvPicPr>
                  <pic:blipFill>
                    <a:blip r:embed="rId51"/>
                    <a:srcRect b="0" l="0" r="0" t="0"/>
                    <a:stretch/>
                  </pic:blipFill>
                  <pic:spPr>
                    <a:xfrm flipH="false" flipV="false" rot="0">
                      <a:ext cx="4590415" cy="2749550"/>
                    </a:xfrm>
                    <a:prstGeom prst="rect"/>
                  </pic:spPr>
                </pic:pic>
              </a:graphicData>
            </a:graphic>
          </wp:inline>
        </w:drawing>
      </w:r>
    </w:p>
    <w:p w14:paraId="0603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20.</w:t>
      </w:r>
      <w:r>
        <w:rPr>
          <w:rFonts w:ascii="Times New Roman" w:hAnsi="Times New Roman"/>
          <w:sz w:val="20"/>
        </w:rPr>
        <w:t xml:space="preserve"> Степень удовлетворенности потребителей характеристиками продукции на рынке розничной торговли, % к опрошенным</w:t>
      </w:r>
    </w:p>
    <w:p w14:paraId="07030000">
      <w:pPr>
        <w:spacing w:after="0" w:line="240" w:lineRule="auto"/>
        <w:ind w:firstLine="720" w:left="0"/>
        <w:jc w:val="both"/>
        <w:rPr>
          <w:rFonts w:ascii="Times New Roman" w:hAnsi="Times New Roman"/>
          <w:sz w:val="28"/>
        </w:rPr>
      </w:pPr>
      <w:r>
        <w:rPr>
          <w:rFonts w:ascii="Times New Roman" w:hAnsi="Times New Roman"/>
          <w:sz w:val="28"/>
        </w:rPr>
        <w:t xml:space="preserve">Торговая сеть города </w:t>
      </w:r>
      <w:r>
        <w:rPr>
          <w:rFonts w:ascii="Times New Roman" w:hAnsi="Times New Roman"/>
          <w:sz w:val="28"/>
        </w:rPr>
        <w:t>Волгодонска</w:t>
      </w:r>
      <w:r>
        <w:rPr>
          <w:rFonts w:ascii="Times New Roman" w:hAnsi="Times New Roman"/>
          <w:sz w:val="28"/>
        </w:rPr>
        <w:t xml:space="preserve"> </w:t>
      </w:r>
      <w:r>
        <w:rPr>
          <w:rFonts w:ascii="Times New Roman" w:hAnsi="Times New Roman"/>
          <w:sz w:val="28"/>
        </w:rPr>
        <w:t>насчитывает 143</w:t>
      </w:r>
      <w:r>
        <w:rPr>
          <w:rFonts w:ascii="Times New Roman" w:hAnsi="Times New Roman"/>
          <w:sz w:val="28"/>
        </w:rPr>
        <w:t>9</w:t>
      </w:r>
      <w:r>
        <w:rPr>
          <w:rFonts w:ascii="Times New Roman" w:hAnsi="Times New Roman"/>
          <w:sz w:val="28"/>
        </w:rPr>
        <w:t xml:space="preserve"> предприятий розничной торговли, общей торговой площадью 144496,0 кв.м., из них  63</w:t>
      </w:r>
      <w:r>
        <w:rPr>
          <w:rFonts w:ascii="Times New Roman" w:hAnsi="Times New Roman"/>
          <w:sz w:val="28"/>
        </w:rPr>
        <w:t>4</w:t>
      </w:r>
      <w:r>
        <w:rPr>
          <w:rFonts w:ascii="Times New Roman" w:hAnsi="Times New Roman"/>
          <w:sz w:val="28"/>
        </w:rPr>
        <w:t xml:space="preserve"> объект мелкорозничной торговой сети и 80</w:t>
      </w:r>
      <w:r>
        <w:rPr>
          <w:rFonts w:ascii="Times New Roman" w:hAnsi="Times New Roman"/>
          <w:sz w:val="28"/>
        </w:rPr>
        <w:t>9</w:t>
      </w:r>
      <w:r>
        <w:rPr>
          <w:rFonts w:ascii="Times New Roman" w:hAnsi="Times New Roman"/>
          <w:sz w:val="28"/>
        </w:rPr>
        <w:t xml:space="preserve"> объектов стационарной торговой сети.</w:t>
      </w:r>
    </w:p>
    <w:p w14:paraId="08030000">
      <w:pPr>
        <w:spacing w:after="0" w:line="240" w:lineRule="auto"/>
        <w:ind w:firstLine="720" w:left="0"/>
        <w:jc w:val="both"/>
        <w:rPr>
          <w:rFonts w:ascii="Times New Roman" w:hAnsi="Times New Roman"/>
          <w:sz w:val="28"/>
        </w:rPr>
      </w:pPr>
      <w:r>
        <w:rPr>
          <w:rFonts w:ascii="Times New Roman" w:hAnsi="Times New Roman"/>
          <w:sz w:val="28"/>
        </w:rPr>
        <w:t>Преобладающая часть респондентов удовлетворена</w:t>
      </w:r>
      <w:r>
        <w:rPr>
          <w:rFonts w:ascii="Times New Roman" w:hAnsi="Times New Roman"/>
          <w:sz w:val="28"/>
        </w:rPr>
        <w:t xml:space="preserve"> либо скорее удовлетворена</w:t>
      </w:r>
      <w:r>
        <w:rPr>
          <w:rFonts w:ascii="Times New Roman" w:hAnsi="Times New Roman"/>
          <w:sz w:val="28"/>
        </w:rPr>
        <w:t xml:space="preserve"> характеристиками рынка розничной торговли г</w:t>
      </w:r>
      <w:r>
        <w:rPr>
          <w:rFonts w:ascii="Times New Roman" w:hAnsi="Times New Roman"/>
          <w:sz w:val="28"/>
        </w:rPr>
        <w:t>.Волгодонска</w:t>
      </w:r>
      <w:r>
        <w:rPr>
          <w:rFonts w:ascii="Times New Roman" w:hAnsi="Times New Roman"/>
          <w:sz w:val="28"/>
        </w:rPr>
        <w:t xml:space="preserve">. </w:t>
      </w:r>
    </w:p>
    <w:p w14:paraId="09030000">
      <w:pPr>
        <w:spacing w:after="0" w:line="240" w:lineRule="auto"/>
        <w:ind w:firstLine="709" w:left="0"/>
        <w:jc w:val="both"/>
        <w:rPr>
          <w:rFonts w:ascii="Times New Roman" w:hAnsi="Times New Roman"/>
          <w:sz w:val="28"/>
        </w:rPr>
      </w:pPr>
      <w:r>
        <w:rPr>
          <w:rFonts w:ascii="Times New Roman" w:hAnsi="Times New Roman"/>
          <w:sz w:val="28"/>
        </w:rPr>
        <w:t xml:space="preserve">Количество неудовлетворенных потребителей качеством </w:t>
      </w:r>
      <w:r>
        <w:rPr>
          <w:rFonts w:ascii="Times New Roman" w:hAnsi="Times New Roman"/>
          <w:sz w:val="28"/>
        </w:rPr>
        <w:t>рынка розничной торговли</w:t>
      </w:r>
      <w:r>
        <w:rPr>
          <w:rFonts w:ascii="Times New Roman" w:hAnsi="Times New Roman"/>
          <w:sz w:val="28"/>
        </w:rPr>
        <w:t xml:space="preserve"> в городе </w:t>
      </w:r>
      <w:r>
        <w:rPr>
          <w:rFonts w:ascii="Times New Roman" w:hAnsi="Times New Roman"/>
          <w:sz w:val="28"/>
        </w:rPr>
        <w:t>снизилось</w:t>
      </w:r>
      <w:r>
        <w:rPr>
          <w:rFonts w:ascii="Times New Roman" w:hAnsi="Times New Roman"/>
          <w:sz w:val="28"/>
        </w:rPr>
        <w:t xml:space="preserve"> с </w:t>
      </w:r>
      <w:r>
        <w:rPr>
          <w:rFonts w:ascii="Times New Roman" w:hAnsi="Times New Roman"/>
          <w:sz w:val="28"/>
        </w:rPr>
        <w:t>52</w:t>
      </w:r>
      <w:r>
        <w:rPr>
          <w:rFonts w:ascii="Times New Roman" w:hAnsi="Times New Roman"/>
          <w:sz w:val="28"/>
        </w:rPr>
        <w:t>% в 20</w:t>
      </w:r>
      <w:r>
        <w:rPr>
          <w:rFonts w:ascii="Times New Roman" w:hAnsi="Times New Roman"/>
          <w:sz w:val="28"/>
        </w:rPr>
        <w:t>20</w:t>
      </w:r>
      <w:r>
        <w:rPr>
          <w:rFonts w:ascii="Times New Roman" w:hAnsi="Times New Roman"/>
          <w:sz w:val="28"/>
        </w:rPr>
        <w:t xml:space="preserve"> году до </w:t>
      </w:r>
      <w:r>
        <w:rPr>
          <w:rFonts w:ascii="Times New Roman" w:hAnsi="Times New Roman"/>
          <w:sz w:val="28"/>
        </w:rPr>
        <w:t>51</w:t>
      </w:r>
      <w:r>
        <w:rPr>
          <w:rFonts w:ascii="Times New Roman" w:hAnsi="Times New Roman"/>
          <w:sz w:val="28"/>
        </w:rPr>
        <w:t xml:space="preserve">% в </w:t>
      </w:r>
      <w:r>
        <w:rPr>
          <w:rFonts w:ascii="Times New Roman" w:hAnsi="Times New Roman"/>
          <w:sz w:val="28"/>
        </w:rPr>
        <w:t>2021</w:t>
      </w:r>
      <w:r>
        <w:rPr>
          <w:rFonts w:ascii="Times New Roman" w:hAnsi="Times New Roman"/>
          <w:sz w:val="28"/>
        </w:rPr>
        <w:t xml:space="preserve"> году. </w:t>
      </w:r>
    </w:p>
    <w:p w14:paraId="0A030000">
      <w:pPr>
        <w:spacing w:after="0"/>
        <w:ind/>
        <w:jc w:val="center"/>
        <w:rPr>
          <w:rFonts w:ascii="Times New Roman" w:hAnsi="Times New Roman"/>
          <w:b w:val="1"/>
          <w:sz w:val="28"/>
          <w:u w:val="single"/>
        </w:rPr>
      </w:pPr>
      <w:r>
        <w:rPr>
          <w:rFonts w:ascii="Times New Roman" w:hAnsi="Times New Roman"/>
          <w:b w:val="1"/>
          <w:sz w:val="28"/>
          <w:u w:val="single"/>
        </w:rPr>
        <w:t>7</w:t>
      </w:r>
      <w:r>
        <w:rPr>
          <w:rFonts w:ascii="Times New Roman" w:hAnsi="Times New Roman"/>
          <w:b w:val="1"/>
          <w:sz w:val="28"/>
          <w:u w:val="single"/>
        </w:rPr>
        <w:t>. Рынок услуг перевозок пассажиров наземным транспортом</w:t>
      </w:r>
    </w:p>
    <w:p w14:paraId="0B030000">
      <w:pPr>
        <w:spacing w:after="0" w:line="240" w:lineRule="auto"/>
        <w:ind w:firstLine="709" w:left="0"/>
        <w:jc w:val="both"/>
        <w:rPr>
          <w:rFonts w:ascii="Times New Roman" w:hAnsi="Times New Roman"/>
          <w:color w:val="000000"/>
          <w:sz w:val="28"/>
        </w:rPr>
      </w:pPr>
      <w:r>
        <w:rPr>
          <w:rFonts w:ascii="Times New Roman" w:hAnsi="Times New Roman"/>
          <w:sz w:val="28"/>
        </w:rPr>
        <w:t>Большая половина опрошенных посчитала рынок услуг перевозок пассажиров наземным транспортом достаточно развитым (</w:t>
      </w:r>
      <w:r>
        <w:rPr>
          <w:rFonts w:ascii="Times New Roman" w:hAnsi="Times New Roman"/>
          <w:sz w:val="28"/>
        </w:rPr>
        <w:t>6</w:t>
      </w: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color w:val="000000"/>
          <w:sz w:val="28"/>
        </w:rPr>
        <w:t>сравнении с 20</w:t>
      </w:r>
      <w:r>
        <w:rPr>
          <w:rFonts w:ascii="Times New Roman" w:hAnsi="Times New Roman"/>
          <w:color w:val="000000"/>
          <w:sz w:val="28"/>
        </w:rPr>
        <w:t>20</w:t>
      </w:r>
      <w:r>
        <w:rPr>
          <w:rFonts w:ascii="Times New Roman" w:hAnsi="Times New Roman"/>
          <w:color w:val="000000"/>
          <w:sz w:val="28"/>
        </w:rPr>
        <w:t xml:space="preserve"> годом количество респондентов с таким мнением  </w:t>
      </w:r>
      <w:r>
        <w:rPr>
          <w:rFonts w:ascii="Times New Roman" w:hAnsi="Times New Roman"/>
          <w:color w:val="000000"/>
          <w:sz w:val="28"/>
        </w:rPr>
        <w:t>увеличилось</w:t>
      </w:r>
      <w:r>
        <w:rPr>
          <w:rFonts w:ascii="Times New Roman" w:hAnsi="Times New Roman"/>
          <w:color w:val="000000"/>
          <w:sz w:val="28"/>
        </w:rPr>
        <w:t xml:space="preserve"> с </w:t>
      </w:r>
      <w:r>
        <w:rPr>
          <w:rFonts w:ascii="Times New Roman" w:hAnsi="Times New Roman"/>
          <w:color w:val="000000"/>
          <w:sz w:val="28"/>
        </w:rPr>
        <w:t>60</w:t>
      </w:r>
      <w:r>
        <w:rPr>
          <w:rFonts w:ascii="Times New Roman" w:hAnsi="Times New Roman"/>
          <w:color w:val="000000"/>
          <w:sz w:val="28"/>
        </w:rPr>
        <w:t xml:space="preserve">% до </w:t>
      </w:r>
      <w:r>
        <w:rPr>
          <w:rFonts w:ascii="Times New Roman" w:hAnsi="Times New Roman"/>
          <w:color w:val="000000"/>
          <w:sz w:val="28"/>
        </w:rPr>
        <w:t>63</w:t>
      </w:r>
      <w:r>
        <w:rPr>
          <w:rFonts w:ascii="Times New Roman" w:hAnsi="Times New Roman"/>
          <w:color w:val="000000"/>
          <w:sz w:val="28"/>
        </w:rPr>
        <w:t>%.</w:t>
      </w:r>
    </w:p>
    <w:p w14:paraId="0C030000">
      <w:pPr>
        <w:spacing w:after="0" w:line="240" w:lineRule="auto"/>
        <w:ind w:firstLine="709" w:left="0"/>
        <w:jc w:val="both"/>
        <w:rPr>
          <w:rFonts w:ascii="Times New Roman" w:hAnsi="Times New Roman"/>
          <w:sz w:val="28"/>
        </w:rPr>
      </w:pPr>
      <w:r>
        <w:rPr>
          <w:rFonts w:ascii="Times New Roman" w:hAnsi="Times New Roman"/>
          <w:color w:val="000000"/>
          <w:sz w:val="28"/>
        </w:rPr>
        <w:t>32</w:t>
      </w:r>
      <w:r>
        <w:rPr>
          <w:rFonts w:ascii="Times New Roman" w:hAnsi="Times New Roman"/>
          <w:color w:val="000000"/>
          <w:sz w:val="28"/>
        </w:rPr>
        <w:t>%,</w:t>
      </w:r>
      <w:r>
        <w:rPr>
          <w:rFonts w:ascii="Times New Roman" w:hAnsi="Times New Roman"/>
          <w:sz w:val="28"/>
        </w:rPr>
        <w:t xml:space="preserve"> напротив, определили, что организаций, представляющих данный рынок услуг в городе, мало, </w:t>
      </w:r>
      <w:r>
        <w:rPr>
          <w:rFonts w:ascii="Times New Roman" w:hAnsi="Times New Roman"/>
          <w:sz w:val="28"/>
        </w:rPr>
        <w:t>5</w:t>
      </w:r>
      <w:r>
        <w:rPr>
          <w:rFonts w:ascii="Times New Roman" w:hAnsi="Times New Roman"/>
          <w:sz w:val="28"/>
        </w:rPr>
        <w:t>% – избыточн</w:t>
      </w:r>
      <w:r>
        <w:rPr>
          <w:rFonts w:ascii="Times New Roman" w:hAnsi="Times New Roman"/>
          <w:sz w:val="28"/>
        </w:rPr>
        <w:t>о</w:t>
      </w:r>
      <w:r>
        <w:rPr>
          <w:rFonts w:ascii="Times New Roman" w:hAnsi="Times New Roman"/>
          <w:sz w:val="28"/>
        </w:rPr>
        <w:t xml:space="preserve"> (рисунок 2.</w:t>
      </w:r>
      <w:r>
        <w:rPr>
          <w:rFonts w:ascii="Times New Roman" w:hAnsi="Times New Roman"/>
          <w:sz w:val="28"/>
        </w:rPr>
        <w:t>21.</w:t>
      </w:r>
      <w:r>
        <w:rPr>
          <w:rFonts w:ascii="Times New Roman" w:hAnsi="Times New Roman"/>
          <w:sz w:val="28"/>
        </w:rPr>
        <w:t xml:space="preserve">). </w:t>
      </w:r>
    </w:p>
    <w:p w14:paraId="0D030000">
      <w:pPr>
        <w:spacing w:after="0"/>
        <w:ind/>
        <w:jc w:val="center"/>
        <w:rPr>
          <w:rFonts w:ascii="Times New Roman" w:hAnsi="Times New Roman"/>
          <w:sz w:val="28"/>
        </w:rPr>
      </w:pPr>
      <w:r>
        <w:rPr>
          <w:rFonts w:ascii="Times New Roman" w:hAnsi="Times New Roman"/>
          <w:sz w:val="28"/>
        </w:rPr>
        <w:drawing>
          <wp:inline>
            <wp:extent cx="4590415" cy="2749550"/>
            <wp:docPr hidden="false" id="98" name="Picture 98"/>
            <a:graphic>
              <a:graphicData uri="http://schemas.openxmlformats.org/drawingml/2006/picture">
                <pic:pic>
                  <pic:nvPicPr>
                    <pic:cNvPr hidden="false" id="97" name="Picture 97"/>
                    <pic:cNvPicPr preferRelativeResize="true"/>
                  </pic:nvPicPr>
                  <pic:blipFill>
                    <a:blip r:embed="rId52"/>
                    <a:srcRect b="0" l="0" r="0" t="0"/>
                    <a:stretch/>
                  </pic:blipFill>
                  <pic:spPr>
                    <a:xfrm flipH="false" flipV="false" rot="0">
                      <a:ext cx="4590415" cy="2749550"/>
                    </a:xfrm>
                    <a:prstGeom prst="rect"/>
                  </pic:spPr>
                </pic:pic>
              </a:graphicData>
            </a:graphic>
          </wp:inline>
        </w:drawing>
      </w:r>
    </w:p>
    <w:p w14:paraId="0E03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21</w:t>
      </w:r>
      <w:r>
        <w:rPr>
          <w:rFonts w:ascii="Times New Roman" w:hAnsi="Times New Roman"/>
          <w:sz w:val="20"/>
        </w:rPr>
        <w:t>. Количество организаций на рынке услуг</w:t>
      </w:r>
      <w:r>
        <w:rPr>
          <w:rFonts w:ascii="Times New Roman" w:hAnsi="Times New Roman"/>
          <w:sz w:val="20"/>
        </w:rPr>
        <w:br/>
      </w:r>
      <w:r>
        <w:rPr>
          <w:rFonts w:ascii="Times New Roman" w:hAnsi="Times New Roman"/>
          <w:sz w:val="20"/>
        </w:rPr>
        <w:t xml:space="preserve"> перевозок пассажиров наземным транспортом, % к опрошенным</w:t>
      </w:r>
    </w:p>
    <w:p w14:paraId="0F030000">
      <w:pPr>
        <w:spacing w:after="0"/>
        <w:ind/>
        <w:jc w:val="center"/>
        <w:rPr>
          <w:rFonts w:ascii="Times New Roman" w:hAnsi="Times New Roman"/>
          <w:sz w:val="20"/>
        </w:rPr>
      </w:pPr>
    </w:p>
    <w:p w14:paraId="10030000">
      <w:pPr>
        <w:spacing w:after="0"/>
        <w:ind w:firstLine="709" w:left="0"/>
        <w:jc w:val="both"/>
        <w:rPr>
          <w:rFonts w:ascii="Times New Roman" w:hAnsi="Times New Roman"/>
          <w:sz w:val="28"/>
        </w:rPr>
      </w:pPr>
      <w:r>
        <w:rPr>
          <w:rFonts w:ascii="Times New Roman" w:hAnsi="Times New Roman"/>
          <w:sz w:val="28"/>
        </w:rPr>
        <w:t>Больше половины</w:t>
      </w:r>
      <w:r>
        <w:rPr>
          <w:rFonts w:ascii="Times New Roman" w:hAnsi="Times New Roman"/>
          <w:sz w:val="28"/>
        </w:rPr>
        <w:t xml:space="preserve"> опрошенных (</w:t>
      </w:r>
      <w:r>
        <w:rPr>
          <w:rFonts w:ascii="Times New Roman" w:hAnsi="Times New Roman"/>
          <w:sz w:val="28"/>
        </w:rPr>
        <w:t>65</w:t>
      </w:r>
      <w:r>
        <w:rPr>
          <w:rFonts w:ascii="Times New Roman" w:hAnsi="Times New Roman"/>
          <w:sz w:val="28"/>
        </w:rPr>
        <w:t>%) зафиксировали изменени</w:t>
      </w:r>
      <w:r>
        <w:rPr>
          <w:rFonts w:ascii="Times New Roman" w:hAnsi="Times New Roman"/>
          <w:sz w:val="28"/>
        </w:rPr>
        <w:t>я</w:t>
      </w:r>
      <w:r>
        <w:rPr>
          <w:rFonts w:ascii="Times New Roman" w:hAnsi="Times New Roman"/>
          <w:sz w:val="28"/>
        </w:rPr>
        <w:t xml:space="preserve"> на рынке услуг перевозок пассажиров наземным транспортом за последние 3 года. </w:t>
      </w:r>
      <w:r>
        <w:rPr>
          <w:rFonts w:ascii="Times New Roman" w:hAnsi="Times New Roman"/>
          <w:sz w:val="28"/>
        </w:rPr>
        <w:t>Отрицательную</w:t>
      </w:r>
      <w:r>
        <w:rPr>
          <w:rFonts w:ascii="Times New Roman" w:hAnsi="Times New Roman"/>
          <w:sz w:val="28"/>
        </w:rPr>
        <w:t xml:space="preserve"> тенденцию отметили </w:t>
      </w:r>
      <w:r>
        <w:rPr>
          <w:rFonts w:ascii="Times New Roman" w:hAnsi="Times New Roman"/>
          <w:sz w:val="28"/>
        </w:rPr>
        <w:t>18</w:t>
      </w:r>
      <w:r>
        <w:rPr>
          <w:rFonts w:ascii="Times New Roman" w:hAnsi="Times New Roman"/>
          <w:sz w:val="28"/>
        </w:rPr>
        <w:t xml:space="preserve">%, а </w:t>
      </w:r>
      <w:r>
        <w:rPr>
          <w:rFonts w:ascii="Times New Roman" w:hAnsi="Times New Roman"/>
          <w:sz w:val="28"/>
        </w:rPr>
        <w:t>положительную</w:t>
      </w:r>
      <w:r>
        <w:rPr>
          <w:rFonts w:ascii="Times New Roman" w:hAnsi="Times New Roman"/>
          <w:sz w:val="28"/>
        </w:rPr>
        <w:t xml:space="preserve">– </w:t>
      </w:r>
      <w:r>
        <w:rPr>
          <w:rFonts w:ascii="Times New Roman" w:hAnsi="Times New Roman"/>
          <w:sz w:val="28"/>
        </w:rPr>
        <w:t>3</w:t>
      </w:r>
      <w:r>
        <w:rPr>
          <w:rFonts w:ascii="Times New Roman" w:hAnsi="Times New Roman"/>
          <w:sz w:val="28"/>
        </w:rPr>
        <w:t>%. Затрудни</w:t>
      </w:r>
      <w:r>
        <w:rPr>
          <w:rFonts w:ascii="Times New Roman" w:hAnsi="Times New Roman"/>
          <w:sz w:val="28"/>
        </w:rPr>
        <w:t>лись ответить на данный вопрос 14</w:t>
      </w:r>
      <w:r>
        <w:rPr>
          <w:rFonts w:ascii="Times New Roman" w:hAnsi="Times New Roman"/>
          <w:sz w:val="28"/>
        </w:rPr>
        <w:t>%.</w:t>
      </w:r>
    </w:p>
    <w:p w14:paraId="11030000">
      <w:pPr>
        <w:spacing w:after="0"/>
        <w:ind w:firstLine="709" w:left="0"/>
        <w:jc w:val="both"/>
        <w:rPr>
          <w:rFonts w:ascii="Times New Roman" w:hAnsi="Times New Roman"/>
          <w:sz w:val="28"/>
        </w:rPr>
      </w:pPr>
      <w:r>
        <w:rPr>
          <w:rFonts w:ascii="Times New Roman" w:hAnsi="Times New Roman"/>
          <w:sz w:val="28"/>
        </w:rPr>
        <w:t>Не у</w:t>
      </w:r>
      <w:r>
        <w:rPr>
          <w:rFonts w:ascii="Times New Roman" w:hAnsi="Times New Roman"/>
          <w:sz w:val="28"/>
        </w:rPr>
        <w:t xml:space="preserve">довлетворены уровнем цен, качеством и возможностью выбора предоставляемых услуг на </w:t>
      </w:r>
      <w:r>
        <w:rPr>
          <w:rFonts w:ascii="Times New Roman" w:hAnsi="Times New Roman"/>
          <w:sz w:val="28"/>
        </w:rPr>
        <w:t>рынке услуг перевозок пассажиров наземным транспортом</w:t>
      </w:r>
      <w:r>
        <w:rPr>
          <w:rFonts w:ascii="Times New Roman" w:hAnsi="Times New Roman"/>
          <w:sz w:val="28"/>
        </w:rPr>
        <w:t xml:space="preserve"> 43</w:t>
      </w:r>
      <w:r>
        <w:rPr>
          <w:rFonts w:ascii="Times New Roman" w:hAnsi="Times New Roman"/>
          <w:sz w:val="28"/>
        </w:rPr>
        <w:t xml:space="preserve">%, </w:t>
      </w:r>
      <w:r>
        <w:rPr>
          <w:rFonts w:ascii="Times New Roman" w:hAnsi="Times New Roman"/>
          <w:sz w:val="28"/>
        </w:rPr>
        <w:t>49</w:t>
      </w:r>
      <w:r>
        <w:rPr>
          <w:rFonts w:ascii="Times New Roman" w:hAnsi="Times New Roman"/>
          <w:sz w:val="28"/>
        </w:rPr>
        <w:t xml:space="preserve">% и </w:t>
      </w:r>
      <w:r>
        <w:rPr>
          <w:rFonts w:ascii="Times New Roman" w:hAnsi="Times New Roman"/>
          <w:sz w:val="28"/>
        </w:rPr>
        <w:t>29</w:t>
      </w:r>
      <w:r>
        <w:rPr>
          <w:rFonts w:ascii="Times New Roman" w:hAnsi="Times New Roman"/>
          <w:sz w:val="28"/>
        </w:rPr>
        <w:t xml:space="preserve">% </w:t>
      </w:r>
      <w:r>
        <w:rPr>
          <w:rFonts w:ascii="Times New Roman" w:hAnsi="Times New Roman"/>
          <w:sz w:val="28"/>
        </w:rPr>
        <w:t xml:space="preserve">респондентов </w:t>
      </w:r>
      <w:r>
        <w:rPr>
          <w:rFonts w:ascii="Times New Roman" w:hAnsi="Times New Roman"/>
          <w:sz w:val="28"/>
        </w:rPr>
        <w:t>соответственно.</w:t>
      </w:r>
    </w:p>
    <w:p w14:paraId="12030000">
      <w:pPr>
        <w:spacing w:after="0"/>
        <w:ind w:firstLine="709" w:left="0"/>
        <w:jc w:val="both"/>
        <w:rPr>
          <w:rFonts w:ascii="Times New Roman" w:hAnsi="Times New Roman"/>
          <w:sz w:val="28"/>
        </w:rPr>
      </w:pPr>
      <w:r>
        <w:rPr>
          <w:rFonts w:ascii="Times New Roman" w:hAnsi="Times New Roman"/>
          <w:sz w:val="28"/>
        </w:rPr>
        <w:t xml:space="preserve">Качеством услуг на рынке перевозок пассажиров наземным транспортом </w:t>
      </w:r>
      <w:r>
        <w:rPr>
          <w:rFonts w:ascii="Times New Roman" w:hAnsi="Times New Roman"/>
          <w:sz w:val="28"/>
        </w:rPr>
        <w:t xml:space="preserve">не </w:t>
      </w:r>
      <w:r>
        <w:rPr>
          <w:rFonts w:ascii="Times New Roman" w:hAnsi="Times New Roman"/>
          <w:sz w:val="28"/>
        </w:rPr>
        <w:t xml:space="preserve">удовлетворены </w:t>
      </w:r>
      <w:r>
        <w:rPr>
          <w:rFonts w:ascii="Times New Roman" w:hAnsi="Times New Roman"/>
          <w:sz w:val="28"/>
        </w:rPr>
        <w:t xml:space="preserve">53% респондентов. </w:t>
      </w:r>
      <w:r>
        <w:rPr>
          <w:rFonts w:ascii="Times New Roman" w:hAnsi="Times New Roman"/>
          <w:sz w:val="28"/>
        </w:rPr>
        <w:t xml:space="preserve">Возможностью выбора услуг на данном рынке в разной степени удовлетворены </w:t>
      </w:r>
      <w:r>
        <w:rPr>
          <w:rFonts w:ascii="Times New Roman" w:hAnsi="Times New Roman"/>
          <w:sz w:val="28"/>
        </w:rPr>
        <w:t>30</w:t>
      </w:r>
      <w:r>
        <w:rPr>
          <w:rFonts w:ascii="Times New Roman" w:hAnsi="Times New Roman"/>
          <w:sz w:val="28"/>
        </w:rPr>
        <w:t>% опрошенных</w:t>
      </w:r>
      <w:r>
        <w:rPr>
          <w:rFonts w:ascii="Times New Roman" w:hAnsi="Times New Roman"/>
          <w:sz w:val="28"/>
        </w:rPr>
        <w:t xml:space="preserve"> </w:t>
      </w:r>
      <w:r>
        <w:rPr>
          <w:rFonts w:ascii="Times New Roman" w:hAnsi="Times New Roman"/>
          <w:sz w:val="28"/>
        </w:rPr>
        <w:t>(рисунок 2.</w:t>
      </w:r>
      <w:r>
        <w:rPr>
          <w:rFonts w:ascii="Times New Roman" w:hAnsi="Times New Roman"/>
          <w:sz w:val="28"/>
        </w:rPr>
        <w:t>22</w:t>
      </w:r>
      <w:r>
        <w:rPr>
          <w:rFonts w:ascii="Times New Roman" w:hAnsi="Times New Roman"/>
          <w:sz w:val="28"/>
        </w:rPr>
        <w:t xml:space="preserve">.). </w:t>
      </w:r>
    </w:p>
    <w:p w14:paraId="13030000">
      <w:pPr>
        <w:spacing w:after="0"/>
        <w:ind/>
        <w:jc w:val="both"/>
        <w:rPr>
          <w:rFonts w:ascii="Times New Roman" w:hAnsi="Times New Roman"/>
          <w:sz w:val="28"/>
        </w:rPr>
      </w:pPr>
    </w:p>
    <w:p w14:paraId="14030000">
      <w:pPr>
        <w:spacing w:after="0"/>
        <w:ind/>
        <w:jc w:val="center"/>
        <w:rPr>
          <w:rFonts w:ascii="Times New Roman" w:hAnsi="Times New Roman"/>
          <w:b w:val="1"/>
          <w:sz w:val="28"/>
        </w:rPr>
      </w:pPr>
    </w:p>
    <w:p w14:paraId="15030000">
      <w:pPr>
        <w:spacing w:after="0"/>
        <w:ind/>
        <w:jc w:val="center"/>
        <w:rPr>
          <w:rFonts w:ascii="Times New Roman" w:hAnsi="Times New Roman"/>
          <w:b w:val="1"/>
          <w:sz w:val="28"/>
        </w:rPr>
      </w:pPr>
    </w:p>
    <w:p w14:paraId="16030000">
      <w:pPr>
        <w:spacing w:after="0"/>
        <w:ind/>
        <w:jc w:val="center"/>
        <w:rPr>
          <w:rFonts w:ascii="Times New Roman" w:hAnsi="Times New Roman"/>
          <w:b w:val="1"/>
          <w:sz w:val="28"/>
        </w:rPr>
      </w:pPr>
      <w:r>
        <w:rPr>
          <w:rFonts w:ascii="Times New Roman" w:hAnsi="Times New Roman"/>
          <w:b w:val="1"/>
          <w:sz w:val="28"/>
        </w:rPr>
        <w:t>Уровень цен</w:t>
      </w:r>
    </w:p>
    <w:p w14:paraId="17030000">
      <w:pPr>
        <w:spacing w:after="0"/>
        <w:ind/>
        <w:jc w:val="center"/>
        <w:rPr>
          <w:rFonts w:ascii="Times New Roman" w:hAnsi="Times New Roman"/>
          <w:sz w:val="28"/>
        </w:rPr>
      </w:pPr>
      <w:r>
        <w:rPr>
          <w:rFonts w:ascii="Times New Roman" w:hAnsi="Times New Roman"/>
          <w:sz w:val="28"/>
        </w:rPr>
        <w:drawing>
          <wp:inline>
            <wp:extent cx="4590415" cy="2749550"/>
            <wp:docPr hidden="false" id="100" name="Picture 100"/>
            <a:graphic>
              <a:graphicData uri="http://schemas.openxmlformats.org/drawingml/2006/picture">
                <pic:pic>
                  <pic:nvPicPr>
                    <pic:cNvPr hidden="false" id="99" name="Picture 99"/>
                    <pic:cNvPicPr preferRelativeResize="true"/>
                  </pic:nvPicPr>
                  <pic:blipFill>
                    <a:blip r:embed="rId53"/>
                    <a:srcRect b="0" l="0" r="0" t="0"/>
                    <a:stretch/>
                  </pic:blipFill>
                  <pic:spPr>
                    <a:xfrm flipH="false" flipV="false" rot="0">
                      <a:ext cx="4590415" cy="2749550"/>
                    </a:xfrm>
                    <a:prstGeom prst="rect"/>
                  </pic:spPr>
                </pic:pic>
              </a:graphicData>
            </a:graphic>
          </wp:inline>
        </w:drawing>
      </w:r>
    </w:p>
    <w:p w14:paraId="18030000">
      <w:pPr>
        <w:spacing w:after="0"/>
        <w:ind/>
        <w:jc w:val="center"/>
        <w:rPr>
          <w:rFonts w:ascii="Times New Roman" w:hAnsi="Times New Roman"/>
          <w:b w:val="1"/>
          <w:sz w:val="28"/>
        </w:rPr>
      </w:pPr>
      <w:r>
        <w:rPr>
          <w:rFonts w:ascii="Times New Roman" w:hAnsi="Times New Roman"/>
          <w:b w:val="1"/>
          <w:sz w:val="28"/>
        </w:rPr>
        <w:t>Качество</w:t>
      </w:r>
    </w:p>
    <w:p w14:paraId="19030000">
      <w:pPr>
        <w:spacing w:after="0"/>
        <w:ind/>
        <w:jc w:val="center"/>
        <w:rPr>
          <w:rFonts w:ascii="Times New Roman" w:hAnsi="Times New Roman"/>
          <w:b w:val="1"/>
          <w:sz w:val="28"/>
        </w:rPr>
      </w:pPr>
      <w:r>
        <w:rPr>
          <w:rFonts w:ascii="Times New Roman" w:hAnsi="Times New Roman"/>
          <w:b w:val="1"/>
          <w:sz w:val="28"/>
        </w:rPr>
        <w:drawing>
          <wp:inline>
            <wp:extent cx="4590415" cy="2749550"/>
            <wp:docPr hidden="false" id="102" name="Picture 102"/>
            <a:graphic>
              <a:graphicData uri="http://schemas.openxmlformats.org/drawingml/2006/picture">
                <pic:pic>
                  <pic:nvPicPr>
                    <pic:cNvPr hidden="false" id="101" name="Picture 101"/>
                    <pic:cNvPicPr preferRelativeResize="true"/>
                  </pic:nvPicPr>
                  <pic:blipFill>
                    <a:blip r:embed="rId54"/>
                    <a:srcRect b="0" l="0" r="0" t="0"/>
                    <a:stretch/>
                  </pic:blipFill>
                  <pic:spPr>
                    <a:xfrm flipH="false" flipV="false" rot="0">
                      <a:ext cx="4590415" cy="2749550"/>
                    </a:xfrm>
                    <a:prstGeom prst="rect"/>
                  </pic:spPr>
                </pic:pic>
              </a:graphicData>
            </a:graphic>
          </wp:inline>
        </w:drawing>
      </w:r>
    </w:p>
    <w:p w14:paraId="1A030000">
      <w:pPr>
        <w:spacing w:after="0"/>
        <w:ind/>
        <w:jc w:val="center"/>
        <w:rPr>
          <w:rFonts w:ascii="Times New Roman" w:hAnsi="Times New Roman"/>
          <w:b w:val="1"/>
          <w:sz w:val="28"/>
        </w:rPr>
      </w:pPr>
      <w:r>
        <w:rPr>
          <w:rFonts w:ascii="Times New Roman" w:hAnsi="Times New Roman"/>
          <w:b w:val="1"/>
          <w:sz w:val="28"/>
        </w:rPr>
        <w:t>Возможность выбора</w:t>
      </w:r>
    </w:p>
    <w:p w14:paraId="1B030000">
      <w:pPr>
        <w:spacing w:after="0"/>
        <w:ind/>
        <w:jc w:val="center"/>
        <w:rPr>
          <w:rFonts w:ascii="Times New Roman" w:hAnsi="Times New Roman"/>
          <w:sz w:val="28"/>
        </w:rPr>
      </w:pPr>
      <w:r>
        <w:rPr>
          <w:rFonts w:ascii="Times New Roman" w:hAnsi="Times New Roman"/>
          <w:sz w:val="28"/>
        </w:rPr>
        <w:drawing>
          <wp:inline>
            <wp:extent cx="4590415" cy="2749550"/>
            <wp:docPr hidden="false" id="104" name="Picture 104"/>
            <a:graphic>
              <a:graphicData uri="http://schemas.openxmlformats.org/drawingml/2006/picture">
                <pic:pic>
                  <pic:nvPicPr>
                    <pic:cNvPr hidden="false" id="103" name="Picture 103"/>
                    <pic:cNvPicPr preferRelativeResize="true"/>
                  </pic:nvPicPr>
                  <pic:blipFill>
                    <a:blip r:embed="rId55"/>
                    <a:srcRect b="0" l="0" r="0" t="0"/>
                    <a:stretch/>
                  </pic:blipFill>
                  <pic:spPr>
                    <a:xfrm flipH="false" flipV="false" rot="0">
                      <a:ext cx="4590415" cy="2749550"/>
                    </a:xfrm>
                    <a:prstGeom prst="rect"/>
                  </pic:spPr>
                </pic:pic>
              </a:graphicData>
            </a:graphic>
          </wp:inline>
        </w:drawing>
      </w:r>
    </w:p>
    <w:p w14:paraId="1C03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22</w:t>
      </w:r>
      <w:r>
        <w:rPr>
          <w:rFonts w:ascii="Times New Roman" w:hAnsi="Times New Roman"/>
          <w:sz w:val="20"/>
        </w:rPr>
        <w:t>. Степень удовлетворенности потребителей характеристиками продукции на рынке пассажирских перевозок наземным транспортом, % к опрошенным</w:t>
      </w:r>
    </w:p>
    <w:p w14:paraId="1D030000">
      <w:pPr>
        <w:spacing w:after="0"/>
        <w:ind/>
        <w:jc w:val="center"/>
        <w:rPr>
          <w:rFonts w:ascii="Times New Roman" w:hAnsi="Times New Roman"/>
          <w:sz w:val="28"/>
        </w:rPr>
      </w:pPr>
    </w:p>
    <w:p w14:paraId="1E030000">
      <w:pPr>
        <w:spacing w:after="0"/>
        <w:ind w:firstLine="709" w:left="0"/>
        <w:jc w:val="both"/>
        <w:rPr>
          <w:rFonts w:ascii="Times New Roman" w:hAnsi="Times New Roman"/>
          <w:sz w:val="28"/>
        </w:rPr>
      </w:pPr>
      <w:r>
        <w:rPr>
          <w:rFonts w:ascii="Times New Roman" w:hAnsi="Times New Roman"/>
          <w:sz w:val="28"/>
        </w:rPr>
        <w:t xml:space="preserve">На рынке пассажирских транспортных услуг в городе Волгодонске осуществляют деятельность </w:t>
      </w:r>
      <w:r>
        <w:rPr>
          <w:rFonts w:ascii="Times New Roman" w:hAnsi="Times New Roman"/>
          <w:sz w:val="28"/>
        </w:rPr>
        <w:t>2</w:t>
      </w:r>
      <w:r>
        <w:rPr>
          <w:rFonts w:ascii="Times New Roman" w:hAnsi="Times New Roman"/>
          <w:sz w:val="28"/>
        </w:rPr>
        <w:t xml:space="preserve"> транспортных предприяти</w:t>
      </w:r>
      <w:r>
        <w:rPr>
          <w:rFonts w:ascii="Times New Roman" w:hAnsi="Times New Roman"/>
          <w:sz w:val="28"/>
        </w:rPr>
        <w:t>я</w:t>
      </w:r>
      <w:r>
        <w:rPr>
          <w:rFonts w:ascii="Times New Roman" w:hAnsi="Times New Roman"/>
          <w:sz w:val="28"/>
        </w:rPr>
        <w:t xml:space="preserve">, парк которых составляет </w:t>
      </w:r>
      <w:r>
        <w:rPr>
          <w:rFonts w:ascii="Times New Roman" w:hAnsi="Times New Roman"/>
          <w:sz w:val="28"/>
        </w:rPr>
        <w:t>94</w:t>
      </w:r>
      <w:r>
        <w:rPr>
          <w:rFonts w:ascii="Times New Roman" w:hAnsi="Times New Roman"/>
          <w:sz w:val="28"/>
        </w:rPr>
        <w:t xml:space="preserve"> единиц</w:t>
      </w:r>
      <w:r>
        <w:rPr>
          <w:rFonts w:ascii="Times New Roman" w:hAnsi="Times New Roman"/>
          <w:sz w:val="28"/>
        </w:rPr>
        <w:t>ы</w:t>
      </w:r>
      <w:r>
        <w:rPr>
          <w:rFonts w:ascii="Times New Roman" w:hAnsi="Times New Roman"/>
          <w:sz w:val="28"/>
        </w:rPr>
        <w:t xml:space="preserve">, </w:t>
      </w:r>
      <w:r>
        <w:rPr>
          <w:rFonts w:ascii="Times New Roman" w:hAnsi="Times New Roman"/>
          <w:sz w:val="28"/>
        </w:rPr>
        <w:t>разного класса и вместимости</w:t>
      </w:r>
      <w:r>
        <w:rPr>
          <w:rFonts w:ascii="Times New Roman" w:hAnsi="Times New Roman"/>
          <w:sz w:val="28"/>
        </w:rPr>
        <w:t xml:space="preserve">. </w:t>
      </w:r>
    </w:p>
    <w:p w14:paraId="1F030000">
      <w:pPr>
        <w:spacing w:after="0"/>
        <w:ind w:firstLine="709" w:left="0"/>
        <w:jc w:val="both"/>
        <w:rPr>
          <w:rFonts w:ascii="Times New Roman" w:hAnsi="Times New Roman"/>
          <w:sz w:val="28"/>
        </w:rPr>
      </w:pPr>
      <w:r>
        <w:rPr>
          <w:rFonts w:ascii="Times New Roman" w:hAnsi="Times New Roman"/>
          <w:sz w:val="28"/>
        </w:rPr>
        <w:t>Ценовая политика на рынке перевозок пассажиров наземным транспортом</w:t>
      </w:r>
      <w:r>
        <w:rPr>
          <w:rFonts w:ascii="Times New Roman" w:hAnsi="Times New Roman"/>
          <w:sz w:val="28"/>
        </w:rPr>
        <w:t xml:space="preserve"> в разной степени устраивает около </w:t>
      </w:r>
      <w:r>
        <w:rPr>
          <w:rFonts w:ascii="Times New Roman" w:hAnsi="Times New Roman"/>
          <w:sz w:val="28"/>
        </w:rPr>
        <w:t>39</w:t>
      </w:r>
      <w:r>
        <w:rPr>
          <w:rFonts w:ascii="Times New Roman" w:hAnsi="Times New Roman"/>
          <w:sz w:val="28"/>
        </w:rPr>
        <w:t xml:space="preserve">% опрошенных потребителей. </w:t>
      </w:r>
      <w:r>
        <w:rPr>
          <w:rFonts w:ascii="Times New Roman" w:hAnsi="Times New Roman"/>
          <w:sz w:val="28"/>
        </w:rPr>
        <w:t>Качеством предоставляемых услуг недовольны в разной степени 65% респондентов.</w:t>
      </w:r>
    </w:p>
    <w:p w14:paraId="20030000">
      <w:pPr>
        <w:spacing w:after="0"/>
        <w:ind w:firstLine="709" w:left="0"/>
        <w:jc w:val="both"/>
        <w:rPr>
          <w:rFonts w:ascii="Times New Roman" w:hAnsi="Times New Roman"/>
          <w:sz w:val="28"/>
        </w:rPr>
      </w:pPr>
      <w:r>
        <w:rPr>
          <w:rFonts w:ascii="Times New Roman" w:hAnsi="Times New Roman"/>
          <w:sz w:val="28"/>
        </w:rPr>
        <w:t>Потребители города охарактеризовали рынок услуг перевозок</w:t>
      </w:r>
      <w:r>
        <w:rPr>
          <w:rFonts w:ascii="Times New Roman" w:hAnsi="Times New Roman"/>
          <w:sz w:val="28"/>
        </w:rPr>
        <w:t xml:space="preserve"> пассажиров наземным транспортом как</w:t>
      </w:r>
      <w:r>
        <w:rPr>
          <w:rFonts w:ascii="Times New Roman" w:hAnsi="Times New Roman"/>
          <w:sz w:val="28"/>
        </w:rPr>
        <w:t xml:space="preserve"> достаточно развитый</w:t>
      </w:r>
      <w:r>
        <w:rPr>
          <w:rFonts w:ascii="Times New Roman" w:hAnsi="Times New Roman"/>
          <w:sz w:val="28"/>
        </w:rPr>
        <w:t xml:space="preserve">. </w:t>
      </w:r>
    </w:p>
    <w:p w14:paraId="21030000">
      <w:pPr>
        <w:spacing w:after="0"/>
        <w:ind w:firstLine="709" w:left="0"/>
        <w:jc w:val="both"/>
        <w:rPr>
          <w:rFonts w:ascii="Times New Roman" w:hAnsi="Times New Roman"/>
          <w:sz w:val="28"/>
        </w:rPr>
      </w:pPr>
    </w:p>
    <w:p w14:paraId="22030000">
      <w:pPr>
        <w:tabs>
          <w:tab w:leader="none" w:pos="1507" w:val="left"/>
        </w:tabs>
        <w:spacing w:after="0"/>
        <w:ind/>
        <w:jc w:val="both"/>
        <w:rPr>
          <w:rFonts w:ascii="Times New Roman" w:hAnsi="Times New Roman"/>
          <w:sz w:val="6"/>
        </w:rPr>
      </w:pPr>
      <w:r>
        <w:rPr>
          <w:rFonts w:ascii="Times New Roman" w:hAnsi="Times New Roman"/>
          <w:sz w:val="28"/>
        </w:rPr>
        <w:tab/>
      </w:r>
    </w:p>
    <w:p w14:paraId="23030000">
      <w:pPr>
        <w:spacing w:after="0"/>
        <w:ind/>
        <w:jc w:val="center"/>
        <w:rPr>
          <w:rFonts w:ascii="Times New Roman" w:hAnsi="Times New Roman"/>
          <w:b w:val="1"/>
          <w:sz w:val="28"/>
          <w:u w:val="single"/>
        </w:rPr>
      </w:pPr>
      <w:r>
        <w:rPr>
          <w:rFonts w:ascii="Times New Roman" w:hAnsi="Times New Roman"/>
          <w:b w:val="1"/>
          <w:sz w:val="28"/>
          <w:u w:val="single"/>
        </w:rPr>
        <w:t>8</w:t>
      </w:r>
      <w:r>
        <w:rPr>
          <w:rFonts w:ascii="Times New Roman" w:hAnsi="Times New Roman"/>
          <w:b w:val="1"/>
          <w:sz w:val="28"/>
          <w:u w:val="single"/>
        </w:rPr>
        <w:t>. Рынок услуг социального обслуживания населения</w:t>
      </w:r>
    </w:p>
    <w:p w14:paraId="24030000">
      <w:pPr>
        <w:spacing w:after="0"/>
        <w:ind w:firstLine="709" w:left="0"/>
        <w:jc w:val="both"/>
        <w:rPr>
          <w:rFonts w:ascii="Times New Roman" w:hAnsi="Times New Roman"/>
          <w:sz w:val="8"/>
        </w:rPr>
      </w:pPr>
    </w:p>
    <w:p w14:paraId="25030000">
      <w:pPr>
        <w:spacing w:after="0"/>
        <w:ind w:firstLine="709" w:left="0"/>
        <w:jc w:val="both"/>
        <w:rPr>
          <w:rFonts w:ascii="Times New Roman" w:hAnsi="Times New Roman"/>
          <w:sz w:val="28"/>
        </w:rPr>
      </w:pPr>
      <w:r>
        <w:rPr>
          <w:rFonts w:ascii="Times New Roman" w:hAnsi="Times New Roman"/>
          <w:sz w:val="28"/>
        </w:rPr>
        <w:t xml:space="preserve">Опрос показал, что </w:t>
      </w:r>
      <w:r>
        <w:rPr>
          <w:rFonts w:ascii="Times New Roman" w:hAnsi="Times New Roman"/>
          <w:sz w:val="28"/>
        </w:rPr>
        <w:t>48</w:t>
      </w:r>
      <w:r>
        <w:rPr>
          <w:rFonts w:ascii="Times New Roman" w:hAnsi="Times New Roman"/>
          <w:sz w:val="28"/>
        </w:rPr>
        <w:t xml:space="preserve">% опрошенных считают, </w:t>
      </w:r>
      <w:r>
        <w:rPr>
          <w:rFonts w:ascii="Times New Roman" w:hAnsi="Times New Roman"/>
          <w:sz w:val="28"/>
        </w:rPr>
        <w:t xml:space="preserve">что </w:t>
      </w:r>
      <w:r>
        <w:rPr>
          <w:rFonts w:ascii="Times New Roman" w:hAnsi="Times New Roman"/>
          <w:sz w:val="28"/>
        </w:rPr>
        <w:t xml:space="preserve">в городе </w:t>
      </w:r>
      <w:r>
        <w:rPr>
          <w:rFonts w:ascii="Times New Roman" w:hAnsi="Times New Roman"/>
          <w:sz w:val="28"/>
        </w:rPr>
        <w:t>достаточно</w:t>
      </w:r>
      <w:r>
        <w:rPr>
          <w:rFonts w:ascii="Times New Roman" w:hAnsi="Times New Roman"/>
          <w:sz w:val="28"/>
        </w:rPr>
        <w:t xml:space="preserve"> организаций, оказывающих услуги по социальному обслуживанию населения</w:t>
      </w:r>
      <w:r>
        <w:rPr>
          <w:rFonts w:ascii="Times New Roman" w:hAnsi="Times New Roman"/>
          <w:sz w:val="28"/>
        </w:rPr>
        <w:t xml:space="preserve">. </w:t>
      </w:r>
      <w:r>
        <w:rPr>
          <w:rFonts w:ascii="Times New Roman" w:hAnsi="Times New Roman"/>
          <w:sz w:val="28"/>
        </w:rPr>
        <w:t>35</w:t>
      </w:r>
      <w:r>
        <w:rPr>
          <w:rFonts w:ascii="Times New Roman" w:hAnsi="Times New Roman"/>
          <w:sz w:val="28"/>
        </w:rPr>
        <w:t>% респондентов, напротив, уверен</w:t>
      </w:r>
      <w:r>
        <w:rPr>
          <w:rFonts w:ascii="Times New Roman" w:hAnsi="Times New Roman"/>
          <w:sz w:val="28"/>
        </w:rPr>
        <w:t>ы</w:t>
      </w:r>
      <w:r>
        <w:rPr>
          <w:rFonts w:ascii="Times New Roman" w:hAnsi="Times New Roman"/>
          <w:sz w:val="28"/>
        </w:rPr>
        <w:t>, что это</w:t>
      </w:r>
      <w:r>
        <w:rPr>
          <w:rFonts w:ascii="Times New Roman" w:hAnsi="Times New Roman"/>
          <w:sz w:val="28"/>
        </w:rPr>
        <w:t>т</w:t>
      </w:r>
      <w:r>
        <w:rPr>
          <w:rFonts w:ascii="Times New Roman" w:hAnsi="Times New Roman"/>
          <w:sz w:val="28"/>
        </w:rPr>
        <w:t xml:space="preserve"> рын</w:t>
      </w:r>
      <w:r>
        <w:rPr>
          <w:rFonts w:ascii="Times New Roman" w:hAnsi="Times New Roman"/>
          <w:sz w:val="28"/>
        </w:rPr>
        <w:t>о</w:t>
      </w:r>
      <w:r>
        <w:rPr>
          <w:rFonts w:ascii="Times New Roman" w:hAnsi="Times New Roman"/>
          <w:sz w:val="28"/>
        </w:rPr>
        <w:t>к</w:t>
      </w:r>
      <w:r>
        <w:rPr>
          <w:rFonts w:ascii="Times New Roman" w:hAnsi="Times New Roman"/>
          <w:sz w:val="28"/>
        </w:rPr>
        <w:t xml:space="preserve"> мало развит</w:t>
      </w:r>
      <w:r>
        <w:rPr>
          <w:rFonts w:ascii="Times New Roman" w:hAnsi="Times New Roman"/>
          <w:sz w:val="28"/>
        </w:rPr>
        <w:t xml:space="preserve">; </w:t>
      </w:r>
      <w:r>
        <w:rPr>
          <w:rFonts w:ascii="Times New Roman" w:hAnsi="Times New Roman"/>
          <w:sz w:val="28"/>
        </w:rPr>
        <w:t>15</w:t>
      </w:r>
      <w:r>
        <w:rPr>
          <w:rFonts w:ascii="Times New Roman" w:hAnsi="Times New Roman"/>
          <w:sz w:val="28"/>
        </w:rPr>
        <w:t xml:space="preserve">% респондентов утверждали, что таких организаций совсем нет, а </w:t>
      </w:r>
      <w:r>
        <w:rPr>
          <w:rFonts w:ascii="Times New Roman" w:hAnsi="Times New Roman"/>
          <w:sz w:val="28"/>
        </w:rPr>
        <w:t>2</w:t>
      </w:r>
      <w:r>
        <w:rPr>
          <w:rFonts w:ascii="Times New Roman" w:hAnsi="Times New Roman"/>
          <w:sz w:val="28"/>
        </w:rPr>
        <w:t>% их избыточно (рисунок 2.</w:t>
      </w:r>
      <w:r>
        <w:rPr>
          <w:rFonts w:ascii="Times New Roman" w:hAnsi="Times New Roman"/>
          <w:sz w:val="28"/>
        </w:rPr>
        <w:t>23</w:t>
      </w:r>
      <w:r>
        <w:rPr>
          <w:rFonts w:ascii="Times New Roman" w:hAnsi="Times New Roman"/>
          <w:sz w:val="28"/>
        </w:rPr>
        <w:t xml:space="preserve">.). </w:t>
      </w:r>
    </w:p>
    <w:p w14:paraId="26030000">
      <w:pPr>
        <w:spacing w:after="0"/>
        <w:ind/>
        <w:jc w:val="center"/>
        <w:rPr>
          <w:rFonts w:ascii="Times New Roman" w:hAnsi="Times New Roman"/>
          <w:sz w:val="28"/>
        </w:rPr>
      </w:pPr>
      <w:r>
        <w:rPr>
          <w:rFonts w:ascii="Times New Roman" w:hAnsi="Times New Roman"/>
          <w:sz w:val="28"/>
        </w:rPr>
        <w:drawing>
          <wp:inline>
            <wp:extent cx="4590415" cy="2749550"/>
            <wp:docPr hidden="false" id="106" name="Picture 106"/>
            <a:graphic>
              <a:graphicData uri="http://schemas.openxmlformats.org/drawingml/2006/picture">
                <pic:pic>
                  <pic:nvPicPr>
                    <pic:cNvPr hidden="false" id="105" name="Picture 105"/>
                    <pic:cNvPicPr preferRelativeResize="true"/>
                  </pic:nvPicPr>
                  <pic:blipFill>
                    <a:blip r:embed="rId56"/>
                    <a:srcRect b="0" l="0" r="0" t="0"/>
                    <a:stretch/>
                  </pic:blipFill>
                  <pic:spPr>
                    <a:xfrm flipH="false" flipV="false" rot="0">
                      <a:ext cx="4590415" cy="2749550"/>
                    </a:xfrm>
                    <a:prstGeom prst="rect"/>
                  </pic:spPr>
                </pic:pic>
              </a:graphicData>
            </a:graphic>
          </wp:inline>
        </w:drawing>
      </w:r>
    </w:p>
    <w:p w14:paraId="2703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23</w:t>
      </w:r>
      <w:r>
        <w:rPr>
          <w:rFonts w:ascii="Times New Roman" w:hAnsi="Times New Roman"/>
          <w:sz w:val="20"/>
        </w:rPr>
        <w:t>. Количество организаций на рынке услуг социального обслуживания населения, % к опрошенным</w:t>
      </w:r>
    </w:p>
    <w:p w14:paraId="28030000">
      <w:pPr>
        <w:spacing w:after="0"/>
        <w:ind w:firstLine="709" w:left="0"/>
        <w:jc w:val="both"/>
        <w:rPr>
          <w:rFonts w:ascii="Times New Roman" w:hAnsi="Times New Roman"/>
          <w:sz w:val="28"/>
        </w:rPr>
      </w:pPr>
      <w:r>
        <w:rPr>
          <w:rFonts w:ascii="Times New Roman" w:hAnsi="Times New Roman"/>
          <w:sz w:val="28"/>
        </w:rPr>
        <w:t>При этом, большая часть участников опроса (</w:t>
      </w:r>
      <w:r>
        <w:rPr>
          <w:rFonts w:ascii="Times New Roman" w:hAnsi="Times New Roman"/>
          <w:sz w:val="28"/>
        </w:rPr>
        <w:t>67</w:t>
      </w:r>
      <w:r>
        <w:rPr>
          <w:rFonts w:ascii="Times New Roman" w:hAnsi="Times New Roman"/>
          <w:sz w:val="28"/>
        </w:rPr>
        <w:t xml:space="preserve">%), не зафиксировала за последние 3 года изменений количества субъектов, предоставляющих услуги социального обслуживания населения. Положительную динамику </w:t>
      </w:r>
      <w:r>
        <w:rPr>
          <w:rFonts w:ascii="Times New Roman" w:hAnsi="Times New Roman"/>
          <w:sz w:val="28"/>
        </w:rPr>
        <w:t>отметили</w:t>
      </w:r>
      <w:r>
        <w:rPr>
          <w:rFonts w:ascii="Times New Roman" w:hAnsi="Times New Roman"/>
          <w:sz w:val="28"/>
        </w:rPr>
        <w:t xml:space="preserve"> </w:t>
      </w:r>
      <w:r>
        <w:rPr>
          <w:rFonts w:ascii="Times New Roman" w:hAnsi="Times New Roman"/>
          <w:sz w:val="28"/>
        </w:rPr>
        <w:t>7</w:t>
      </w:r>
      <w:r>
        <w:rPr>
          <w:rFonts w:ascii="Times New Roman" w:hAnsi="Times New Roman"/>
          <w:sz w:val="28"/>
        </w:rPr>
        <w:t xml:space="preserve">% респондентов, </w:t>
      </w:r>
      <w:r>
        <w:rPr>
          <w:rFonts w:ascii="Times New Roman" w:hAnsi="Times New Roman"/>
          <w:sz w:val="28"/>
        </w:rPr>
        <w:t xml:space="preserve">отрицательную динамику только – 3%, </w:t>
      </w:r>
      <w:r>
        <w:rPr>
          <w:rFonts w:ascii="Times New Roman" w:hAnsi="Times New Roman"/>
          <w:sz w:val="28"/>
        </w:rPr>
        <w:t xml:space="preserve">затруднились ответить – </w:t>
      </w:r>
      <w:r>
        <w:rPr>
          <w:rFonts w:ascii="Times New Roman" w:hAnsi="Times New Roman"/>
          <w:sz w:val="28"/>
        </w:rPr>
        <w:t>23</w:t>
      </w:r>
      <w:r>
        <w:rPr>
          <w:rFonts w:ascii="Times New Roman" w:hAnsi="Times New Roman"/>
          <w:sz w:val="28"/>
        </w:rPr>
        <w:t>%.</w:t>
      </w:r>
    </w:p>
    <w:p w14:paraId="29030000">
      <w:pPr>
        <w:spacing w:after="0"/>
        <w:ind w:firstLine="709" w:left="0"/>
        <w:jc w:val="both"/>
        <w:rPr>
          <w:rFonts w:ascii="Times New Roman" w:hAnsi="Times New Roman"/>
          <w:sz w:val="28"/>
        </w:rPr>
      </w:pPr>
      <w:r>
        <w:rPr>
          <w:rFonts w:ascii="Times New Roman" w:hAnsi="Times New Roman"/>
          <w:sz w:val="28"/>
        </w:rPr>
        <w:t>Почти треть</w:t>
      </w:r>
      <w:r>
        <w:rPr>
          <w:rFonts w:ascii="Times New Roman" w:hAnsi="Times New Roman"/>
          <w:sz w:val="28"/>
        </w:rPr>
        <w:t xml:space="preserve"> опрошенных потребителей товаров, работ и услуг города затруднились охарактеризовать услуг</w:t>
      </w:r>
      <w:r>
        <w:rPr>
          <w:rFonts w:ascii="Times New Roman" w:hAnsi="Times New Roman"/>
          <w:sz w:val="28"/>
        </w:rPr>
        <w:t>и</w:t>
      </w:r>
      <w:r>
        <w:rPr>
          <w:rFonts w:ascii="Times New Roman" w:hAnsi="Times New Roman"/>
          <w:sz w:val="28"/>
        </w:rPr>
        <w:t xml:space="preserve"> социального обслуживания населения (рисунок 2.</w:t>
      </w:r>
      <w:r>
        <w:rPr>
          <w:rFonts w:ascii="Times New Roman" w:hAnsi="Times New Roman"/>
          <w:sz w:val="28"/>
        </w:rPr>
        <w:t>24</w:t>
      </w:r>
      <w:r>
        <w:rPr>
          <w:rFonts w:ascii="Times New Roman" w:hAnsi="Times New Roman"/>
          <w:sz w:val="28"/>
        </w:rPr>
        <w:t>.), в основном так ответили респонденты в возрасте от 20 до 35 лет</w:t>
      </w:r>
      <w:r>
        <w:rPr>
          <w:rFonts w:ascii="Times New Roman" w:hAnsi="Times New Roman"/>
          <w:sz w:val="28"/>
        </w:rPr>
        <w:t xml:space="preserve"> и от 36 до 50 лет</w:t>
      </w:r>
      <w:r>
        <w:rPr>
          <w:rFonts w:ascii="Times New Roman" w:hAnsi="Times New Roman"/>
          <w:sz w:val="28"/>
        </w:rPr>
        <w:t xml:space="preserve">. При этом </w:t>
      </w:r>
      <w:r>
        <w:rPr>
          <w:rFonts w:ascii="Times New Roman" w:hAnsi="Times New Roman"/>
          <w:sz w:val="28"/>
        </w:rPr>
        <w:t>24% опрощенных, все-</w:t>
      </w:r>
      <w:r>
        <w:rPr>
          <w:rFonts w:ascii="Times New Roman" w:hAnsi="Times New Roman"/>
          <w:sz w:val="28"/>
        </w:rPr>
        <w:t xml:space="preserve">таки, удовлетворены качеством предоставляемых услуг, </w:t>
      </w:r>
      <w:r>
        <w:rPr>
          <w:rFonts w:ascii="Times New Roman" w:hAnsi="Times New Roman"/>
          <w:sz w:val="28"/>
        </w:rPr>
        <w:t>24</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возможност</w:t>
      </w:r>
      <w:r>
        <w:rPr>
          <w:rFonts w:ascii="Times New Roman" w:hAnsi="Times New Roman"/>
          <w:sz w:val="28"/>
        </w:rPr>
        <w:t>ью</w:t>
      </w:r>
      <w:r>
        <w:rPr>
          <w:rFonts w:ascii="Times New Roman" w:hAnsi="Times New Roman"/>
          <w:sz w:val="28"/>
        </w:rPr>
        <w:t xml:space="preserve"> выбора и</w:t>
      </w:r>
      <w:r>
        <w:rPr>
          <w:rFonts w:ascii="Times New Roman" w:hAnsi="Times New Roman"/>
          <w:sz w:val="28"/>
        </w:rPr>
        <w:t xml:space="preserve"> 22% </w:t>
      </w:r>
      <w:r>
        <w:rPr>
          <w:rFonts w:ascii="Times New Roman" w:hAnsi="Times New Roman"/>
          <w:sz w:val="28"/>
        </w:rPr>
        <w:t>–</w:t>
      </w:r>
      <w:r>
        <w:rPr>
          <w:rFonts w:ascii="Times New Roman" w:hAnsi="Times New Roman"/>
          <w:sz w:val="28"/>
        </w:rPr>
        <w:t xml:space="preserve"> скорее не удовлетворены</w:t>
      </w:r>
      <w:r>
        <w:rPr>
          <w:rFonts w:ascii="Times New Roman" w:hAnsi="Times New Roman"/>
          <w:sz w:val="28"/>
        </w:rPr>
        <w:t xml:space="preserve"> цен</w:t>
      </w:r>
      <w:r>
        <w:rPr>
          <w:rFonts w:ascii="Times New Roman" w:hAnsi="Times New Roman"/>
          <w:sz w:val="28"/>
        </w:rPr>
        <w:t>ой за</w:t>
      </w:r>
      <w:r>
        <w:rPr>
          <w:rFonts w:ascii="Times New Roman" w:hAnsi="Times New Roman"/>
          <w:sz w:val="28"/>
        </w:rPr>
        <w:t xml:space="preserve"> услуг</w:t>
      </w:r>
      <w:r>
        <w:rPr>
          <w:rFonts w:ascii="Times New Roman" w:hAnsi="Times New Roman"/>
          <w:sz w:val="28"/>
        </w:rPr>
        <w:t>у</w:t>
      </w:r>
      <w:r>
        <w:rPr>
          <w:rFonts w:ascii="Times New Roman" w:hAnsi="Times New Roman"/>
          <w:sz w:val="28"/>
        </w:rPr>
        <w:t>.</w:t>
      </w:r>
    </w:p>
    <w:p w14:paraId="2A030000">
      <w:pPr>
        <w:spacing w:after="0"/>
        <w:ind w:firstLine="709" w:left="0"/>
        <w:jc w:val="center"/>
        <w:rPr>
          <w:rFonts w:ascii="Times New Roman" w:hAnsi="Times New Roman"/>
          <w:b w:val="1"/>
          <w:sz w:val="28"/>
        </w:rPr>
      </w:pPr>
    </w:p>
    <w:p w14:paraId="2B030000">
      <w:pPr>
        <w:spacing w:after="0"/>
        <w:ind w:firstLine="709" w:left="0"/>
        <w:jc w:val="center"/>
        <w:rPr>
          <w:rFonts w:ascii="Times New Roman" w:hAnsi="Times New Roman"/>
          <w:b w:val="1"/>
          <w:sz w:val="28"/>
        </w:rPr>
      </w:pPr>
      <w:r>
        <w:rPr>
          <w:rFonts w:ascii="Times New Roman" w:hAnsi="Times New Roman"/>
          <w:b w:val="1"/>
          <w:sz w:val="28"/>
        </w:rPr>
        <w:t>Уровень цен</w:t>
      </w:r>
    </w:p>
    <w:p w14:paraId="2C030000">
      <w:pPr>
        <w:spacing w:after="0"/>
        <w:ind w:firstLine="709" w:left="0"/>
        <w:jc w:val="center"/>
        <w:rPr>
          <w:rFonts w:ascii="Times New Roman" w:hAnsi="Times New Roman"/>
          <w:b w:val="1"/>
          <w:sz w:val="28"/>
        </w:rPr>
      </w:pPr>
      <w:r>
        <w:rPr>
          <w:rFonts w:ascii="Times New Roman" w:hAnsi="Times New Roman"/>
          <w:b w:val="1"/>
          <w:sz w:val="28"/>
        </w:rPr>
        <w:drawing>
          <wp:inline>
            <wp:extent cx="4590415" cy="2590038"/>
            <wp:docPr hidden="false" id="108" name="Picture 108"/>
            <a:graphic>
              <a:graphicData uri="http://schemas.openxmlformats.org/drawingml/2006/picture">
                <pic:pic>
                  <pic:nvPicPr>
                    <pic:cNvPr hidden="false" id="107" name="Picture 107"/>
                    <pic:cNvPicPr preferRelativeResize="true"/>
                  </pic:nvPicPr>
                  <pic:blipFill>
                    <a:blip r:embed="rId57"/>
                    <a:srcRect b="0" l="0" r="0" t="0"/>
                    <a:stretch/>
                  </pic:blipFill>
                  <pic:spPr>
                    <a:xfrm flipH="false" flipV="false" rot="0">
                      <a:ext cx="4590415" cy="2590038"/>
                    </a:xfrm>
                    <a:prstGeom prst="rect"/>
                  </pic:spPr>
                </pic:pic>
              </a:graphicData>
            </a:graphic>
          </wp:inline>
        </w:drawing>
      </w:r>
    </w:p>
    <w:p w14:paraId="2D030000">
      <w:pPr>
        <w:spacing w:after="0"/>
        <w:ind w:firstLine="709" w:left="0"/>
        <w:jc w:val="center"/>
        <w:rPr>
          <w:rFonts w:ascii="Times New Roman" w:hAnsi="Times New Roman"/>
          <w:b w:val="1"/>
          <w:sz w:val="28"/>
        </w:rPr>
      </w:pPr>
      <w:r>
        <w:rPr>
          <w:rFonts w:ascii="Times New Roman" w:hAnsi="Times New Roman"/>
          <w:b w:val="1"/>
          <w:sz w:val="28"/>
        </w:rPr>
        <w:t>Качество</w:t>
      </w:r>
    </w:p>
    <w:p w14:paraId="2E030000">
      <w:pPr>
        <w:spacing w:after="0"/>
        <w:ind w:firstLine="709" w:left="0"/>
        <w:jc w:val="center"/>
        <w:rPr>
          <w:rFonts w:ascii="Times New Roman" w:hAnsi="Times New Roman"/>
          <w:b w:val="1"/>
          <w:sz w:val="28"/>
        </w:rPr>
      </w:pPr>
      <w:r>
        <w:rPr>
          <w:rFonts w:ascii="Times New Roman" w:hAnsi="Times New Roman"/>
          <w:b w:val="1"/>
          <w:sz w:val="28"/>
        </w:rPr>
        <w:drawing>
          <wp:inline>
            <wp:extent cx="4659249" cy="2562606"/>
            <wp:docPr hidden="false" id="110" name="Picture 110"/>
            <a:graphic>
              <a:graphicData uri="http://schemas.openxmlformats.org/drawingml/2006/picture">
                <pic:pic>
                  <pic:nvPicPr>
                    <pic:cNvPr hidden="false" id="109" name="Picture 109"/>
                    <pic:cNvPicPr preferRelativeResize="true"/>
                  </pic:nvPicPr>
                  <pic:blipFill>
                    <a:blip r:embed="rId58"/>
                    <a:srcRect b="0" l="0" r="0" t="0"/>
                    <a:stretch/>
                  </pic:blipFill>
                  <pic:spPr>
                    <a:xfrm flipH="false" flipV="false" rot="0">
                      <a:ext cx="4659249" cy="2562606"/>
                    </a:xfrm>
                    <a:prstGeom prst="rect"/>
                  </pic:spPr>
                </pic:pic>
              </a:graphicData>
            </a:graphic>
          </wp:inline>
        </w:drawing>
      </w:r>
    </w:p>
    <w:p w14:paraId="2F030000">
      <w:pPr>
        <w:spacing w:after="0"/>
        <w:ind w:firstLine="709" w:left="0"/>
        <w:jc w:val="center"/>
        <w:rPr>
          <w:rFonts w:ascii="Times New Roman" w:hAnsi="Times New Roman"/>
          <w:b w:val="1"/>
          <w:sz w:val="28"/>
        </w:rPr>
      </w:pPr>
      <w:r>
        <w:rPr>
          <w:rFonts w:ascii="Times New Roman" w:hAnsi="Times New Roman"/>
          <w:b w:val="1"/>
          <w:sz w:val="28"/>
        </w:rPr>
        <w:t>Возможность выбора</w:t>
      </w:r>
    </w:p>
    <w:p w14:paraId="30030000">
      <w:pPr>
        <w:spacing w:after="0"/>
        <w:ind w:firstLine="851" w:left="0"/>
        <w:jc w:val="center"/>
        <w:rPr>
          <w:rFonts w:ascii="Times New Roman" w:hAnsi="Times New Roman"/>
          <w:sz w:val="28"/>
        </w:rPr>
      </w:pPr>
      <w:r>
        <w:rPr>
          <w:rFonts w:ascii="Times New Roman" w:hAnsi="Times New Roman"/>
          <w:sz w:val="28"/>
        </w:rPr>
        <w:drawing>
          <wp:inline>
            <wp:extent cx="4668393" cy="2752344"/>
            <wp:docPr hidden="false" id="112" name="Picture 112"/>
            <a:graphic>
              <a:graphicData uri="http://schemas.openxmlformats.org/drawingml/2006/picture">
                <pic:pic>
                  <pic:nvPicPr>
                    <pic:cNvPr hidden="false" id="111" name="Picture 111"/>
                    <pic:cNvPicPr preferRelativeResize="true"/>
                  </pic:nvPicPr>
                  <pic:blipFill>
                    <a:blip r:embed="rId59"/>
                    <a:srcRect b="0" l="0" r="0" t="0"/>
                    <a:stretch/>
                  </pic:blipFill>
                  <pic:spPr>
                    <a:xfrm flipH="false" flipV="false" rot="0">
                      <a:ext cx="4668393" cy="2752344"/>
                    </a:xfrm>
                    <a:prstGeom prst="rect"/>
                  </pic:spPr>
                </pic:pic>
              </a:graphicData>
            </a:graphic>
          </wp:inline>
        </w:drawing>
      </w:r>
    </w:p>
    <w:p w14:paraId="3103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24</w:t>
      </w:r>
      <w:r>
        <w:rPr>
          <w:rFonts w:ascii="Times New Roman" w:hAnsi="Times New Roman"/>
          <w:sz w:val="20"/>
        </w:rPr>
        <w:t>. Степень удовлетворенности потребителей характеристиками продукции на рынке услуг социального обслуживания населения, % к опрошенным</w:t>
      </w:r>
    </w:p>
    <w:p w14:paraId="32030000">
      <w:pPr>
        <w:spacing w:after="0"/>
        <w:ind w:firstLine="709" w:left="0"/>
        <w:jc w:val="both"/>
        <w:rPr>
          <w:rFonts w:ascii="Times New Roman" w:hAnsi="Times New Roman"/>
          <w:sz w:val="28"/>
        </w:rPr>
      </w:pPr>
    </w:p>
    <w:p w14:paraId="33030000">
      <w:pPr>
        <w:spacing w:after="0"/>
        <w:ind w:firstLine="709" w:left="0"/>
        <w:jc w:val="both"/>
        <w:rPr>
          <w:rFonts w:ascii="Times New Roman" w:hAnsi="Times New Roman"/>
          <w:sz w:val="28"/>
        </w:rPr>
      </w:pPr>
      <w:r>
        <w:rPr>
          <w:rFonts w:ascii="Times New Roman" w:hAnsi="Times New Roman"/>
          <w:sz w:val="28"/>
        </w:rPr>
        <w:t>В 201</w:t>
      </w:r>
      <w:r>
        <w:rPr>
          <w:rFonts w:ascii="Times New Roman" w:hAnsi="Times New Roman"/>
          <w:sz w:val="28"/>
        </w:rPr>
        <w:t>9</w:t>
      </w:r>
      <w:r>
        <w:rPr>
          <w:rFonts w:ascii="Times New Roman" w:hAnsi="Times New Roman"/>
          <w:sz w:val="28"/>
        </w:rPr>
        <w:t xml:space="preserve"> году на территории города Волгодонска предоставляли услуги социального обслуживания МУ «Центр социального обслуживания граждан пожилого возраста и инвалидов г.Волгодонска № 1», автономная некоммерческая организация по предоставлению социальных услуг «Центр социального обслуживания населен</w:t>
      </w:r>
      <w:r>
        <w:rPr>
          <w:rFonts w:ascii="Times New Roman" w:hAnsi="Times New Roman"/>
          <w:sz w:val="28"/>
        </w:rPr>
        <w:t>ия «Милосердие» г. Волгодонска».</w:t>
      </w:r>
    </w:p>
    <w:p w14:paraId="34030000">
      <w:pPr>
        <w:spacing w:after="0"/>
        <w:ind w:firstLine="709" w:left="0"/>
        <w:jc w:val="both"/>
        <w:rPr>
          <w:rFonts w:ascii="Times New Roman" w:hAnsi="Times New Roman"/>
          <w:sz w:val="28"/>
        </w:rPr>
      </w:pPr>
    </w:p>
    <w:p w14:paraId="35030000">
      <w:pPr>
        <w:spacing w:after="0"/>
        <w:ind/>
        <w:jc w:val="center"/>
        <w:rPr>
          <w:rFonts w:ascii="Times New Roman" w:hAnsi="Times New Roman"/>
          <w:b w:val="1"/>
          <w:sz w:val="28"/>
          <w:u w:val="single"/>
        </w:rPr>
      </w:pPr>
      <w:r>
        <w:rPr>
          <w:rFonts w:ascii="Times New Roman" w:hAnsi="Times New Roman"/>
          <w:b w:val="1"/>
          <w:sz w:val="28"/>
          <w:u w:val="single"/>
        </w:rPr>
        <w:t>9</w:t>
      </w:r>
      <w:r>
        <w:rPr>
          <w:rFonts w:ascii="Times New Roman" w:hAnsi="Times New Roman"/>
          <w:b w:val="1"/>
          <w:sz w:val="28"/>
          <w:u w:val="single"/>
        </w:rPr>
        <w:t>. Рынок жилищного строительства</w:t>
      </w:r>
    </w:p>
    <w:p w14:paraId="36030000">
      <w:pPr>
        <w:spacing w:after="0"/>
        <w:ind w:firstLine="709" w:left="0"/>
        <w:jc w:val="both"/>
        <w:rPr>
          <w:rFonts w:ascii="Times New Roman" w:hAnsi="Times New Roman"/>
          <w:sz w:val="28"/>
        </w:rPr>
      </w:pPr>
    </w:p>
    <w:p w14:paraId="37030000">
      <w:pPr>
        <w:spacing w:after="0"/>
        <w:ind w:firstLine="709" w:left="0"/>
        <w:jc w:val="both"/>
        <w:rPr>
          <w:rFonts w:ascii="Times New Roman" w:hAnsi="Times New Roman"/>
          <w:sz w:val="28"/>
        </w:rPr>
      </w:pPr>
      <w:r>
        <w:rPr>
          <w:rFonts w:ascii="Times New Roman" w:hAnsi="Times New Roman"/>
          <w:sz w:val="28"/>
        </w:rPr>
        <w:t xml:space="preserve">Большинство респондентов, </w:t>
      </w:r>
      <w:r>
        <w:rPr>
          <w:rFonts w:ascii="Times New Roman" w:hAnsi="Times New Roman"/>
          <w:sz w:val="28"/>
        </w:rPr>
        <w:t xml:space="preserve">как и в 2020 году, </w:t>
      </w:r>
      <w:r>
        <w:rPr>
          <w:rFonts w:ascii="Times New Roman" w:hAnsi="Times New Roman"/>
          <w:sz w:val="28"/>
        </w:rPr>
        <w:t xml:space="preserve">считает, что организаций, предоставляющих услуги на рынке жилищного строительства, в городе </w:t>
      </w:r>
      <w:r>
        <w:rPr>
          <w:rFonts w:ascii="Times New Roman" w:hAnsi="Times New Roman"/>
          <w:sz w:val="28"/>
        </w:rPr>
        <w:t>достаточно (63 %)</w:t>
      </w:r>
      <w:r>
        <w:rPr>
          <w:rFonts w:ascii="Times New Roman" w:hAnsi="Times New Roman"/>
          <w:sz w:val="28"/>
        </w:rPr>
        <w:t xml:space="preserve">, однако </w:t>
      </w:r>
      <w:r>
        <w:rPr>
          <w:rFonts w:ascii="Times New Roman" w:hAnsi="Times New Roman"/>
          <w:sz w:val="28"/>
        </w:rPr>
        <w:t>35</w:t>
      </w:r>
      <w:r>
        <w:rPr>
          <w:rFonts w:ascii="Times New Roman" w:hAnsi="Times New Roman"/>
          <w:sz w:val="28"/>
        </w:rPr>
        <w:t>%</w:t>
      </w:r>
      <w:r>
        <w:rPr>
          <w:rFonts w:ascii="Times New Roman" w:hAnsi="Times New Roman"/>
          <w:sz w:val="28"/>
        </w:rPr>
        <w:t xml:space="preserve"> опрошенных уверены, что их мало, а </w:t>
      </w:r>
      <w:r>
        <w:rPr>
          <w:rFonts w:ascii="Times New Roman" w:hAnsi="Times New Roman"/>
          <w:sz w:val="28"/>
        </w:rPr>
        <w:t>по 1</w:t>
      </w:r>
      <w:r>
        <w:rPr>
          <w:rFonts w:ascii="Times New Roman" w:hAnsi="Times New Roman"/>
          <w:sz w:val="28"/>
        </w:rPr>
        <w:t>% респондентов полагают, что таких организаций нет совсем</w:t>
      </w:r>
      <w:r>
        <w:rPr>
          <w:rFonts w:ascii="Times New Roman" w:hAnsi="Times New Roman"/>
          <w:sz w:val="28"/>
        </w:rPr>
        <w:t xml:space="preserve"> или</w:t>
      </w:r>
      <w:r>
        <w:rPr>
          <w:rFonts w:ascii="Times New Roman" w:hAnsi="Times New Roman"/>
          <w:sz w:val="28"/>
        </w:rPr>
        <w:t xml:space="preserve"> их избыточно (много)</w:t>
      </w:r>
      <w:r>
        <w:rPr>
          <w:rFonts w:ascii="Times New Roman" w:hAnsi="Times New Roman"/>
          <w:sz w:val="28"/>
        </w:rPr>
        <w:t xml:space="preserve"> (рисунок 2.</w:t>
      </w:r>
      <w:r>
        <w:rPr>
          <w:rFonts w:ascii="Times New Roman" w:hAnsi="Times New Roman"/>
          <w:sz w:val="28"/>
        </w:rPr>
        <w:t>25</w:t>
      </w:r>
      <w:r>
        <w:rPr>
          <w:rFonts w:ascii="Times New Roman" w:hAnsi="Times New Roman"/>
          <w:sz w:val="28"/>
        </w:rPr>
        <w:t>.)</w:t>
      </w:r>
      <w:r>
        <w:rPr>
          <w:rFonts w:ascii="Times New Roman" w:hAnsi="Times New Roman"/>
          <w:sz w:val="28"/>
        </w:rPr>
        <w:t>.</w:t>
      </w:r>
    </w:p>
    <w:p w14:paraId="38030000">
      <w:pPr>
        <w:spacing w:after="0"/>
        <w:ind w:firstLine="709" w:left="0"/>
        <w:jc w:val="both"/>
        <w:rPr>
          <w:rFonts w:ascii="Times New Roman" w:hAnsi="Times New Roman"/>
          <w:sz w:val="28"/>
        </w:rPr>
      </w:pPr>
    </w:p>
    <w:p w14:paraId="39030000">
      <w:pPr>
        <w:spacing w:after="0"/>
        <w:ind/>
        <w:jc w:val="center"/>
        <w:rPr>
          <w:rFonts w:ascii="Times New Roman" w:hAnsi="Times New Roman"/>
          <w:b w:val="1"/>
          <w:sz w:val="28"/>
          <w:u w:val="single"/>
        </w:rPr>
      </w:pPr>
      <w:r>
        <w:rPr>
          <w:rFonts w:ascii="Times New Roman" w:hAnsi="Times New Roman"/>
          <w:b w:val="1"/>
          <w:sz w:val="28"/>
          <w:u w:val="single"/>
        </w:rPr>
        <w:drawing>
          <wp:inline>
            <wp:extent cx="4590415" cy="2749550"/>
            <wp:docPr hidden="false" id="114" name="Picture 114"/>
            <a:graphic>
              <a:graphicData uri="http://schemas.openxmlformats.org/drawingml/2006/picture">
                <pic:pic>
                  <pic:nvPicPr>
                    <pic:cNvPr hidden="false" id="113" name="Picture 113"/>
                    <pic:cNvPicPr preferRelativeResize="true"/>
                  </pic:nvPicPr>
                  <pic:blipFill>
                    <a:blip r:embed="rId60"/>
                    <a:srcRect b="0" l="0" r="0" t="0"/>
                    <a:stretch/>
                  </pic:blipFill>
                  <pic:spPr>
                    <a:xfrm flipH="false" flipV="false" rot="0">
                      <a:ext cx="4590415" cy="2749550"/>
                    </a:xfrm>
                    <a:prstGeom prst="rect"/>
                  </pic:spPr>
                </pic:pic>
              </a:graphicData>
            </a:graphic>
          </wp:inline>
        </w:drawing>
      </w:r>
    </w:p>
    <w:p w14:paraId="3A03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25</w:t>
      </w:r>
      <w:r>
        <w:rPr>
          <w:rFonts w:ascii="Times New Roman" w:hAnsi="Times New Roman"/>
          <w:sz w:val="20"/>
        </w:rPr>
        <w:t>. Количество организаций на рынке жилищного строительства, % к опрошенным</w:t>
      </w:r>
    </w:p>
    <w:p w14:paraId="3B030000">
      <w:pPr>
        <w:spacing w:after="0"/>
        <w:ind/>
        <w:jc w:val="center"/>
        <w:rPr>
          <w:rFonts w:ascii="Times New Roman" w:hAnsi="Times New Roman"/>
          <w:sz w:val="28"/>
        </w:rPr>
      </w:pPr>
    </w:p>
    <w:p w14:paraId="3C030000">
      <w:pPr>
        <w:spacing w:after="0"/>
        <w:ind w:firstLine="709" w:left="0"/>
        <w:jc w:val="both"/>
        <w:rPr>
          <w:rFonts w:ascii="Times New Roman" w:hAnsi="Times New Roman"/>
          <w:sz w:val="28"/>
        </w:rPr>
      </w:pPr>
      <w:r>
        <w:rPr>
          <w:rFonts w:ascii="Times New Roman" w:hAnsi="Times New Roman"/>
          <w:sz w:val="28"/>
        </w:rPr>
        <w:t xml:space="preserve">В течение последних 3 лет </w:t>
      </w:r>
      <w:r>
        <w:rPr>
          <w:rFonts w:ascii="Times New Roman" w:hAnsi="Times New Roman"/>
          <w:sz w:val="28"/>
        </w:rPr>
        <w:t>52</w:t>
      </w:r>
      <w:r>
        <w:rPr>
          <w:rFonts w:ascii="Times New Roman" w:hAnsi="Times New Roman"/>
          <w:sz w:val="28"/>
        </w:rPr>
        <w:t xml:space="preserve">% респондентов не замечали изменений количества субъектов, представляющих рынок жилищного строительства. Положительную динамику отметили всего лишь </w:t>
      </w:r>
      <w:r>
        <w:rPr>
          <w:rFonts w:ascii="Times New Roman" w:hAnsi="Times New Roman"/>
          <w:sz w:val="28"/>
        </w:rPr>
        <w:t>3</w:t>
      </w:r>
      <w:r>
        <w:rPr>
          <w:rFonts w:ascii="Times New Roman" w:hAnsi="Times New Roman"/>
          <w:sz w:val="28"/>
        </w:rPr>
        <w:t xml:space="preserve">%, </w:t>
      </w:r>
      <w:r>
        <w:rPr>
          <w:rFonts w:ascii="Times New Roman" w:hAnsi="Times New Roman"/>
          <w:sz w:val="28"/>
        </w:rPr>
        <w:t xml:space="preserve">а </w:t>
      </w:r>
      <w:r>
        <w:rPr>
          <w:rFonts w:ascii="Times New Roman" w:hAnsi="Times New Roman"/>
          <w:sz w:val="28"/>
        </w:rPr>
        <w:t>отрицательную</w:t>
      </w:r>
      <w:r>
        <w:rPr>
          <w:rFonts w:ascii="Times New Roman" w:hAnsi="Times New Roman"/>
          <w:sz w:val="28"/>
        </w:rPr>
        <w:t xml:space="preserve"> – 19%</w:t>
      </w:r>
      <w:r>
        <w:rPr>
          <w:rFonts w:ascii="Times New Roman" w:hAnsi="Times New Roman"/>
          <w:sz w:val="28"/>
        </w:rPr>
        <w:t xml:space="preserve">, при этом </w:t>
      </w:r>
      <w:r>
        <w:rPr>
          <w:rFonts w:ascii="Times New Roman" w:hAnsi="Times New Roman"/>
          <w:sz w:val="28"/>
        </w:rPr>
        <w:t>26</w:t>
      </w:r>
      <w:r>
        <w:rPr>
          <w:rFonts w:ascii="Times New Roman" w:hAnsi="Times New Roman"/>
          <w:sz w:val="28"/>
        </w:rPr>
        <w:t xml:space="preserve">% затруднились ответить на заданный вопрос. </w:t>
      </w:r>
    </w:p>
    <w:p w14:paraId="3D030000">
      <w:pPr>
        <w:spacing w:after="0"/>
        <w:ind w:firstLine="709" w:left="0"/>
        <w:jc w:val="both"/>
        <w:rPr>
          <w:rFonts w:ascii="Times New Roman" w:hAnsi="Times New Roman"/>
          <w:sz w:val="28"/>
        </w:rPr>
      </w:pPr>
    </w:p>
    <w:p w14:paraId="3E030000">
      <w:pPr>
        <w:spacing w:after="0"/>
        <w:ind w:firstLine="709" w:left="0"/>
        <w:jc w:val="both"/>
        <w:rPr>
          <w:rFonts w:ascii="Times New Roman" w:hAnsi="Times New Roman"/>
          <w:sz w:val="28"/>
        </w:rPr>
      </w:pPr>
      <w:r>
        <w:rPr>
          <w:rFonts w:ascii="Times New Roman" w:hAnsi="Times New Roman"/>
          <w:sz w:val="28"/>
        </w:rPr>
        <w:t xml:space="preserve">На вопросы о выборе, качестве и цене продукции на рынке жилищного строительства респонденты в целом </w:t>
      </w:r>
      <w:r>
        <w:rPr>
          <w:rFonts w:ascii="Times New Roman" w:hAnsi="Times New Roman"/>
          <w:sz w:val="28"/>
        </w:rPr>
        <w:t>скорее удовлетворены</w:t>
      </w:r>
      <w:r>
        <w:rPr>
          <w:rFonts w:ascii="Times New Roman" w:hAnsi="Times New Roman"/>
          <w:sz w:val="28"/>
        </w:rPr>
        <w:t xml:space="preserve"> (</w:t>
      </w:r>
      <w:r>
        <w:rPr>
          <w:rFonts w:ascii="Times New Roman" w:hAnsi="Times New Roman"/>
          <w:sz w:val="28"/>
        </w:rPr>
        <w:t>43</w:t>
      </w:r>
      <w:r>
        <w:rPr>
          <w:rFonts w:ascii="Times New Roman" w:hAnsi="Times New Roman"/>
          <w:sz w:val="28"/>
        </w:rPr>
        <w:t>%</w:t>
      </w:r>
      <w:r>
        <w:rPr>
          <w:rFonts w:ascii="Times New Roman" w:hAnsi="Times New Roman"/>
          <w:sz w:val="28"/>
        </w:rPr>
        <w:t>, 40% и</w:t>
      </w:r>
      <w:r>
        <w:rPr>
          <w:rFonts w:ascii="Times New Roman" w:hAnsi="Times New Roman"/>
          <w:sz w:val="28"/>
        </w:rPr>
        <w:t xml:space="preserve"> </w:t>
      </w:r>
      <w:r>
        <w:rPr>
          <w:rFonts w:ascii="Times New Roman" w:hAnsi="Times New Roman"/>
          <w:sz w:val="28"/>
        </w:rPr>
        <w:t>36</w:t>
      </w:r>
      <w:r>
        <w:rPr>
          <w:rFonts w:ascii="Times New Roman" w:hAnsi="Times New Roman"/>
          <w:sz w:val="28"/>
        </w:rPr>
        <w:t>% соответственно)</w:t>
      </w:r>
      <w:r>
        <w:rPr>
          <w:rFonts w:ascii="Times New Roman" w:hAnsi="Times New Roman"/>
          <w:sz w:val="28"/>
        </w:rPr>
        <w:t xml:space="preserve">. Не </w:t>
      </w:r>
      <w:r>
        <w:rPr>
          <w:rFonts w:ascii="Times New Roman" w:hAnsi="Times New Roman"/>
          <w:sz w:val="28"/>
        </w:rPr>
        <w:t>удовлетворены или скорее не удовлетворены выбор</w:t>
      </w:r>
      <w:r>
        <w:rPr>
          <w:rFonts w:ascii="Times New Roman" w:hAnsi="Times New Roman"/>
          <w:sz w:val="28"/>
        </w:rPr>
        <w:t>ом</w:t>
      </w:r>
      <w:r>
        <w:rPr>
          <w:rFonts w:ascii="Times New Roman" w:hAnsi="Times New Roman"/>
          <w:sz w:val="28"/>
        </w:rPr>
        <w:t>, качеств</w:t>
      </w:r>
      <w:r>
        <w:rPr>
          <w:rFonts w:ascii="Times New Roman" w:hAnsi="Times New Roman"/>
          <w:sz w:val="28"/>
        </w:rPr>
        <w:t>ом</w:t>
      </w:r>
      <w:r>
        <w:rPr>
          <w:rFonts w:ascii="Times New Roman" w:hAnsi="Times New Roman"/>
          <w:sz w:val="28"/>
        </w:rPr>
        <w:t xml:space="preserve"> и цен</w:t>
      </w:r>
      <w:r>
        <w:rPr>
          <w:rFonts w:ascii="Times New Roman" w:hAnsi="Times New Roman"/>
          <w:sz w:val="28"/>
        </w:rPr>
        <w:t xml:space="preserve">ой </w:t>
      </w:r>
      <w:r>
        <w:rPr>
          <w:rFonts w:ascii="Times New Roman" w:hAnsi="Times New Roman"/>
          <w:sz w:val="28"/>
        </w:rPr>
        <w:t xml:space="preserve">продукции </w:t>
      </w:r>
      <w:r>
        <w:rPr>
          <w:rFonts w:ascii="Times New Roman" w:hAnsi="Times New Roman"/>
          <w:sz w:val="28"/>
        </w:rPr>
        <w:t xml:space="preserve">на </w:t>
      </w:r>
      <w:r>
        <w:rPr>
          <w:rFonts w:ascii="Times New Roman" w:hAnsi="Times New Roman"/>
          <w:sz w:val="28"/>
        </w:rPr>
        <w:t>рынк</w:t>
      </w:r>
      <w:r>
        <w:rPr>
          <w:rFonts w:ascii="Times New Roman" w:hAnsi="Times New Roman"/>
          <w:sz w:val="28"/>
        </w:rPr>
        <w:t>е</w:t>
      </w:r>
      <w:r>
        <w:rPr>
          <w:rFonts w:ascii="Times New Roman" w:hAnsi="Times New Roman"/>
          <w:sz w:val="28"/>
        </w:rPr>
        <w:t xml:space="preserve"> </w:t>
      </w:r>
      <w:r>
        <w:rPr>
          <w:rFonts w:ascii="Times New Roman" w:hAnsi="Times New Roman"/>
          <w:sz w:val="28"/>
        </w:rPr>
        <w:t>жилищного строительства 32%, 35%, 36%) соответственно (рисунок 2.26.)</w:t>
      </w:r>
      <w:r>
        <w:rPr>
          <w:rFonts w:ascii="Times New Roman" w:hAnsi="Times New Roman"/>
          <w:sz w:val="28"/>
        </w:rPr>
        <w:t>.</w:t>
      </w:r>
    </w:p>
    <w:p w14:paraId="3F030000">
      <w:pPr>
        <w:spacing w:after="0"/>
        <w:ind w:firstLine="709" w:left="0"/>
        <w:jc w:val="center"/>
        <w:rPr>
          <w:rFonts w:ascii="Times New Roman" w:hAnsi="Times New Roman"/>
          <w:b w:val="1"/>
          <w:sz w:val="28"/>
        </w:rPr>
      </w:pPr>
    </w:p>
    <w:p w14:paraId="40030000">
      <w:pPr>
        <w:spacing w:after="0"/>
        <w:ind w:firstLine="709" w:left="0"/>
        <w:jc w:val="center"/>
        <w:rPr>
          <w:rFonts w:ascii="Times New Roman" w:hAnsi="Times New Roman"/>
          <w:b w:val="1"/>
          <w:sz w:val="28"/>
        </w:rPr>
      </w:pPr>
    </w:p>
    <w:p w14:paraId="41030000">
      <w:pPr>
        <w:spacing w:after="0"/>
        <w:ind w:firstLine="709" w:left="0"/>
        <w:jc w:val="center"/>
        <w:rPr>
          <w:rFonts w:ascii="Times New Roman" w:hAnsi="Times New Roman"/>
          <w:b w:val="1"/>
          <w:sz w:val="28"/>
        </w:rPr>
      </w:pPr>
    </w:p>
    <w:p w14:paraId="42030000">
      <w:pPr>
        <w:spacing w:after="0"/>
        <w:ind w:firstLine="709" w:left="0"/>
        <w:jc w:val="center"/>
        <w:rPr>
          <w:rFonts w:ascii="Times New Roman" w:hAnsi="Times New Roman"/>
          <w:b w:val="1"/>
          <w:sz w:val="28"/>
        </w:rPr>
      </w:pPr>
      <w:r>
        <w:rPr>
          <w:rFonts w:ascii="Times New Roman" w:hAnsi="Times New Roman"/>
          <w:b w:val="1"/>
          <w:sz w:val="28"/>
        </w:rPr>
        <w:t>Уровень цен</w:t>
      </w:r>
    </w:p>
    <w:p w14:paraId="43030000">
      <w:pPr>
        <w:spacing w:after="0"/>
        <w:ind w:firstLine="709" w:left="0"/>
        <w:jc w:val="center"/>
        <w:rPr>
          <w:rFonts w:ascii="Times New Roman" w:hAnsi="Times New Roman"/>
          <w:b w:val="1"/>
          <w:sz w:val="28"/>
        </w:rPr>
      </w:pPr>
      <w:r>
        <w:rPr>
          <w:rFonts w:ascii="Times New Roman" w:hAnsi="Times New Roman"/>
          <w:b w:val="1"/>
          <w:sz w:val="28"/>
        </w:rPr>
        <w:drawing>
          <wp:inline>
            <wp:extent cx="4590415" cy="2749550"/>
            <wp:docPr hidden="false" id="116" name="Picture 116"/>
            <a:graphic>
              <a:graphicData uri="http://schemas.openxmlformats.org/drawingml/2006/picture">
                <pic:pic>
                  <pic:nvPicPr>
                    <pic:cNvPr hidden="false" id="115" name="Picture 115"/>
                    <pic:cNvPicPr preferRelativeResize="true"/>
                  </pic:nvPicPr>
                  <pic:blipFill>
                    <a:blip r:embed="rId61"/>
                    <a:srcRect b="0" l="0" r="0" t="0"/>
                    <a:stretch/>
                  </pic:blipFill>
                  <pic:spPr>
                    <a:xfrm flipH="false" flipV="false" rot="0">
                      <a:ext cx="4590415" cy="2749550"/>
                    </a:xfrm>
                    <a:prstGeom prst="rect"/>
                  </pic:spPr>
                </pic:pic>
              </a:graphicData>
            </a:graphic>
          </wp:inline>
        </w:drawing>
      </w:r>
    </w:p>
    <w:p w14:paraId="44030000">
      <w:pPr>
        <w:spacing w:after="0"/>
        <w:ind w:firstLine="709" w:left="0"/>
        <w:jc w:val="center"/>
        <w:rPr>
          <w:rFonts w:ascii="Times New Roman" w:hAnsi="Times New Roman"/>
          <w:b w:val="1"/>
          <w:sz w:val="28"/>
        </w:rPr>
      </w:pPr>
      <w:r>
        <w:rPr>
          <w:rFonts w:ascii="Times New Roman" w:hAnsi="Times New Roman"/>
          <w:b w:val="1"/>
          <w:sz w:val="28"/>
        </w:rPr>
        <w:t>Качество</w:t>
      </w:r>
    </w:p>
    <w:p w14:paraId="45030000">
      <w:pPr>
        <w:spacing w:after="0"/>
        <w:ind w:firstLine="709" w:left="0"/>
        <w:jc w:val="center"/>
        <w:rPr>
          <w:rFonts w:ascii="Times New Roman" w:hAnsi="Times New Roman"/>
          <w:b w:val="1"/>
          <w:sz w:val="28"/>
        </w:rPr>
      </w:pPr>
      <w:r>
        <w:rPr>
          <w:rFonts w:ascii="Times New Roman" w:hAnsi="Times New Roman"/>
          <w:b w:val="1"/>
          <w:sz w:val="28"/>
        </w:rPr>
        <w:drawing>
          <wp:inline>
            <wp:extent cx="4590415" cy="2749550"/>
            <wp:docPr hidden="false" id="118" name="Picture 118"/>
            <a:graphic>
              <a:graphicData uri="http://schemas.openxmlformats.org/drawingml/2006/picture">
                <pic:pic>
                  <pic:nvPicPr>
                    <pic:cNvPr hidden="false" id="117" name="Picture 117"/>
                    <pic:cNvPicPr preferRelativeResize="true"/>
                  </pic:nvPicPr>
                  <pic:blipFill>
                    <a:blip r:embed="rId62"/>
                    <a:srcRect b="0" l="0" r="0" t="0"/>
                    <a:stretch/>
                  </pic:blipFill>
                  <pic:spPr>
                    <a:xfrm flipH="false" flipV="false" rot="0">
                      <a:ext cx="4590415" cy="2749550"/>
                    </a:xfrm>
                    <a:prstGeom prst="rect"/>
                  </pic:spPr>
                </pic:pic>
              </a:graphicData>
            </a:graphic>
          </wp:inline>
        </w:drawing>
      </w:r>
    </w:p>
    <w:p w14:paraId="46030000">
      <w:pPr>
        <w:spacing w:after="0"/>
        <w:ind w:firstLine="709" w:left="0"/>
        <w:jc w:val="center"/>
        <w:rPr>
          <w:rFonts w:ascii="Times New Roman" w:hAnsi="Times New Roman"/>
          <w:b w:val="1"/>
          <w:sz w:val="28"/>
        </w:rPr>
      </w:pPr>
      <w:r>
        <w:rPr>
          <w:rFonts w:ascii="Times New Roman" w:hAnsi="Times New Roman"/>
          <w:b w:val="1"/>
          <w:sz w:val="28"/>
        </w:rPr>
        <w:t>Возможность выбора</w:t>
      </w:r>
    </w:p>
    <w:p w14:paraId="47030000">
      <w:pPr>
        <w:spacing w:after="0"/>
        <w:ind w:firstLine="709" w:left="0"/>
        <w:jc w:val="center"/>
        <w:rPr>
          <w:rFonts w:ascii="Times New Roman" w:hAnsi="Times New Roman"/>
          <w:b w:val="1"/>
          <w:sz w:val="28"/>
        </w:rPr>
      </w:pPr>
      <w:r>
        <w:rPr>
          <w:rFonts w:ascii="Times New Roman" w:hAnsi="Times New Roman"/>
          <w:b w:val="1"/>
          <w:sz w:val="28"/>
        </w:rPr>
        <w:drawing>
          <wp:inline>
            <wp:extent cx="4590415" cy="2749550"/>
            <wp:docPr hidden="false" id="120" name="Picture 120"/>
            <a:graphic>
              <a:graphicData uri="http://schemas.openxmlformats.org/drawingml/2006/picture">
                <pic:pic>
                  <pic:nvPicPr>
                    <pic:cNvPr hidden="false" id="119" name="Picture 119"/>
                    <pic:cNvPicPr preferRelativeResize="true"/>
                  </pic:nvPicPr>
                  <pic:blipFill>
                    <a:blip r:embed="rId63"/>
                    <a:srcRect b="0" l="0" r="0" t="0"/>
                    <a:stretch/>
                  </pic:blipFill>
                  <pic:spPr>
                    <a:xfrm flipH="false" flipV="false" rot="0">
                      <a:ext cx="4590415" cy="2749550"/>
                    </a:xfrm>
                    <a:prstGeom prst="rect"/>
                  </pic:spPr>
                </pic:pic>
              </a:graphicData>
            </a:graphic>
          </wp:inline>
        </w:drawing>
      </w:r>
    </w:p>
    <w:p w14:paraId="4803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26</w:t>
      </w:r>
      <w:r>
        <w:rPr>
          <w:rFonts w:ascii="Times New Roman" w:hAnsi="Times New Roman"/>
          <w:sz w:val="20"/>
        </w:rPr>
        <w:t>. Степень удовлетворенности потребителей характеристиками продукции на рынке жилищного строительства, % к опрошенным</w:t>
      </w:r>
    </w:p>
    <w:p w14:paraId="49030000">
      <w:pPr>
        <w:spacing w:after="0"/>
        <w:ind/>
        <w:jc w:val="center"/>
        <w:rPr>
          <w:rFonts w:ascii="Times New Roman" w:hAnsi="Times New Roman"/>
          <w:b w:val="1"/>
          <w:sz w:val="28"/>
          <w:u w:val="single"/>
        </w:rPr>
      </w:pPr>
    </w:p>
    <w:p w14:paraId="4A030000">
      <w:pPr>
        <w:spacing w:after="0"/>
        <w:ind/>
        <w:jc w:val="center"/>
        <w:rPr>
          <w:rFonts w:ascii="Times New Roman" w:hAnsi="Times New Roman"/>
          <w:b w:val="1"/>
          <w:sz w:val="28"/>
          <w:u w:val="single"/>
        </w:rPr>
      </w:pPr>
      <w:r>
        <w:rPr>
          <w:rFonts w:ascii="Times New Roman" w:hAnsi="Times New Roman"/>
          <w:b w:val="1"/>
          <w:sz w:val="28"/>
          <w:u w:val="single"/>
        </w:rPr>
        <w:t>10</w:t>
      </w:r>
      <w:r>
        <w:rPr>
          <w:rFonts w:ascii="Times New Roman" w:hAnsi="Times New Roman"/>
          <w:b w:val="1"/>
          <w:sz w:val="28"/>
          <w:u w:val="single"/>
        </w:rPr>
        <w:t xml:space="preserve">. Рынок </w:t>
      </w:r>
      <w:r>
        <w:rPr>
          <w:rFonts w:ascii="Times New Roman" w:hAnsi="Times New Roman"/>
          <w:b w:val="1"/>
          <w:sz w:val="28"/>
          <w:u w:val="single"/>
        </w:rPr>
        <w:t>промышленности</w:t>
      </w:r>
    </w:p>
    <w:p w14:paraId="4B030000">
      <w:pPr>
        <w:spacing w:after="0"/>
        <w:ind w:firstLine="709" w:left="0"/>
        <w:jc w:val="both"/>
        <w:rPr>
          <w:rFonts w:ascii="Times New Roman" w:hAnsi="Times New Roman"/>
          <w:sz w:val="14"/>
        </w:rPr>
      </w:pPr>
    </w:p>
    <w:p w14:paraId="4C030000">
      <w:pPr>
        <w:spacing w:after="0"/>
        <w:ind w:firstLine="709" w:left="0"/>
        <w:jc w:val="both"/>
        <w:rPr>
          <w:rFonts w:ascii="Times New Roman" w:hAnsi="Times New Roman"/>
          <w:sz w:val="28"/>
        </w:rPr>
      </w:pPr>
      <w:r>
        <w:rPr>
          <w:rFonts w:ascii="Times New Roman" w:hAnsi="Times New Roman"/>
          <w:sz w:val="28"/>
        </w:rPr>
        <w:t xml:space="preserve">По опросу, мнения респондентов распределились следующим образом, </w:t>
      </w:r>
      <w:r>
        <w:rPr>
          <w:rFonts w:ascii="Times New Roman" w:hAnsi="Times New Roman"/>
          <w:sz w:val="28"/>
        </w:rPr>
        <w:t>76</w:t>
      </w:r>
      <w:r>
        <w:rPr>
          <w:rFonts w:ascii="Times New Roman" w:hAnsi="Times New Roman"/>
          <w:sz w:val="28"/>
        </w:rPr>
        <w:t>% опрошенных считают, что рын</w:t>
      </w:r>
      <w:r>
        <w:rPr>
          <w:rFonts w:ascii="Times New Roman" w:hAnsi="Times New Roman"/>
          <w:sz w:val="28"/>
        </w:rPr>
        <w:t>ок</w:t>
      </w:r>
      <w:r>
        <w:rPr>
          <w:rFonts w:ascii="Times New Roman" w:hAnsi="Times New Roman"/>
          <w:sz w:val="28"/>
        </w:rPr>
        <w:t xml:space="preserve"> </w:t>
      </w:r>
      <w:r>
        <w:rPr>
          <w:rFonts w:ascii="Times New Roman" w:hAnsi="Times New Roman"/>
          <w:sz w:val="28"/>
        </w:rPr>
        <w:t>промышленности</w:t>
      </w:r>
      <w:r>
        <w:rPr>
          <w:rFonts w:ascii="Times New Roman" w:hAnsi="Times New Roman"/>
          <w:sz w:val="28"/>
        </w:rPr>
        <w:t xml:space="preserve"> в городе </w:t>
      </w:r>
      <w:r>
        <w:rPr>
          <w:rFonts w:ascii="Times New Roman" w:hAnsi="Times New Roman"/>
          <w:sz w:val="28"/>
        </w:rPr>
        <w:t>достаточно развит</w:t>
      </w:r>
      <w:r>
        <w:rPr>
          <w:rFonts w:ascii="Times New Roman" w:hAnsi="Times New Roman"/>
          <w:sz w:val="28"/>
        </w:rPr>
        <w:t xml:space="preserve">, </w:t>
      </w:r>
      <w:r>
        <w:rPr>
          <w:rFonts w:ascii="Times New Roman" w:hAnsi="Times New Roman"/>
          <w:sz w:val="28"/>
        </w:rPr>
        <w:t>22</w:t>
      </w:r>
      <w:r>
        <w:rPr>
          <w:rFonts w:ascii="Times New Roman" w:hAnsi="Times New Roman"/>
          <w:sz w:val="28"/>
        </w:rPr>
        <w:t xml:space="preserve">% респондентов, считают, что рынок </w:t>
      </w:r>
      <w:r>
        <w:rPr>
          <w:rFonts w:ascii="Times New Roman" w:hAnsi="Times New Roman"/>
          <w:sz w:val="28"/>
        </w:rPr>
        <w:t>развит мало</w:t>
      </w:r>
      <w:r>
        <w:rPr>
          <w:rFonts w:ascii="Times New Roman" w:hAnsi="Times New Roman"/>
          <w:sz w:val="28"/>
        </w:rPr>
        <w:t xml:space="preserve">, </w:t>
      </w:r>
      <w:r>
        <w:rPr>
          <w:rFonts w:ascii="Times New Roman" w:hAnsi="Times New Roman"/>
          <w:sz w:val="28"/>
        </w:rPr>
        <w:t xml:space="preserve">1% – что его нет, 1% </w:t>
      </w:r>
      <w:r>
        <w:rPr>
          <w:rFonts w:ascii="Times New Roman" w:hAnsi="Times New Roman"/>
          <w:sz w:val="28"/>
        </w:rPr>
        <w:t>–</w:t>
      </w:r>
      <w:r>
        <w:rPr>
          <w:rFonts w:ascii="Times New Roman" w:hAnsi="Times New Roman"/>
          <w:sz w:val="28"/>
        </w:rPr>
        <w:t xml:space="preserve"> </w:t>
      </w:r>
      <w:r>
        <w:rPr>
          <w:rFonts w:ascii="Times New Roman" w:hAnsi="Times New Roman"/>
          <w:sz w:val="28"/>
        </w:rPr>
        <w:t>избыточен (рисунок 2.</w:t>
      </w:r>
      <w:r>
        <w:rPr>
          <w:rFonts w:ascii="Times New Roman" w:hAnsi="Times New Roman"/>
          <w:sz w:val="28"/>
        </w:rPr>
        <w:t>27</w:t>
      </w:r>
      <w:r>
        <w:rPr>
          <w:rFonts w:ascii="Times New Roman" w:hAnsi="Times New Roman"/>
          <w:sz w:val="28"/>
        </w:rPr>
        <w:t xml:space="preserve">.). </w:t>
      </w:r>
    </w:p>
    <w:p w14:paraId="4D030000">
      <w:pPr>
        <w:spacing w:after="0"/>
        <w:ind w:firstLine="709" w:left="0"/>
        <w:jc w:val="both"/>
        <w:rPr>
          <w:rFonts w:ascii="Times New Roman" w:hAnsi="Times New Roman"/>
          <w:sz w:val="28"/>
        </w:rPr>
      </w:pPr>
      <w:r>
        <w:rPr>
          <w:rFonts w:ascii="Times New Roman" w:hAnsi="Times New Roman"/>
          <w:sz w:val="28"/>
        </w:rPr>
        <w:drawing>
          <wp:inline>
            <wp:extent cx="4590415" cy="2749550"/>
            <wp:docPr hidden="false" id="122" name="Picture 122"/>
            <a:graphic>
              <a:graphicData uri="http://schemas.openxmlformats.org/drawingml/2006/picture">
                <pic:pic>
                  <pic:nvPicPr>
                    <pic:cNvPr hidden="false" id="121" name="Picture 121"/>
                    <pic:cNvPicPr preferRelativeResize="true"/>
                  </pic:nvPicPr>
                  <pic:blipFill>
                    <a:blip r:embed="rId64"/>
                    <a:srcRect b="0" l="0" r="0" t="0"/>
                    <a:stretch/>
                  </pic:blipFill>
                  <pic:spPr>
                    <a:xfrm flipH="false" flipV="false" rot="0">
                      <a:ext cx="4590415" cy="2749550"/>
                    </a:xfrm>
                    <a:prstGeom prst="rect"/>
                  </pic:spPr>
                </pic:pic>
              </a:graphicData>
            </a:graphic>
          </wp:inline>
        </w:drawing>
      </w:r>
    </w:p>
    <w:p w14:paraId="4E030000">
      <w:pPr>
        <w:spacing w:after="0"/>
        <w:ind/>
        <w:jc w:val="center"/>
        <w:rPr>
          <w:rFonts w:ascii="Times New Roman" w:hAnsi="Times New Roman"/>
          <w:sz w:val="20"/>
        </w:rPr>
      </w:pPr>
      <w:r>
        <w:rPr>
          <w:rFonts w:ascii="Times New Roman" w:hAnsi="Times New Roman"/>
          <w:sz w:val="20"/>
        </w:rPr>
        <w:t>Рисунок 2.27</w:t>
      </w:r>
      <w:r>
        <w:rPr>
          <w:rFonts w:ascii="Times New Roman" w:hAnsi="Times New Roman"/>
          <w:sz w:val="20"/>
        </w:rPr>
        <w:t xml:space="preserve">. Количество организаций на рынке </w:t>
      </w:r>
      <w:r>
        <w:rPr>
          <w:rFonts w:ascii="Times New Roman" w:hAnsi="Times New Roman"/>
          <w:sz w:val="20"/>
        </w:rPr>
        <w:t>промышленности</w:t>
      </w:r>
      <w:r>
        <w:rPr>
          <w:rFonts w:ascii="Times New Roman" w:hAnsi="Times New Roman"/>
          <w:sz w:val="20"/>
        </w:rPr>
        <w:t>, % к опрошенным</w:t>
      </w:r>
    </w:p>
    <w:p w14:paraId="4F030000">
      <w:pPr>
        <w:spacing w:after="0"/>
        <w:ind/>
        <w:jc w:val="center"/>
        <w:rPr>
          <w:rFonts w:ascii="Times New Roman" w:hAnsi="Times New Roman"/>
          <w:sz w:val="28"/>
        </w:rPr>
      </w:pPr>
    </w:p>
    <w:p w14:paraId="50030000">
      <w:pPr>
        <w:spacing w:after="0"/>
        <w:ind w:firstLine="709" w:left="0"/>
        <w:jc w:val="both"/>
        <w:rPr>
          <w:rFonts w:ascii="Times New Roman" w:hAnsi="Times New Roman"/>
          <w:sz w:val="28"/>
        </w:rPr>
      </w:pPr>
      <w:r>
        <w:rPr>
          <w:rFonts w:ascii="Times New Roman" w:hAnsi="Times New Roman"/>
          <w:sz w:val="28"/>
        </w:rPr>
        <w:t>43</w:t>
      </w:r>
      <w:r>
        <w:rPr>
          <w:rFonts w:ascii="Times New Roman" w:hAnsi="Times New Roman"/>
          <w:sz w:val="28"/>
        </w:rPr>
        <w:t xml:space="preserve">% участников опроса </w:t>
      </w:r>
      <w:r>
        <w:rPr>
          <w:rFonts w:ascii="Times New Roman" w:hAnsi="Times New Roman"/>
          <w:sz w:val="28"/>
        </w:rPr>
        <w:t xml:space="preserve">затруднились ответить об изменениях на рынке </w:t>
      </w:r>
      <w:r>
        <w:rPr>
          <w:rFonts w:ascii="Times New Roman" w:hAnsi="Times New Roman"/>
          <w:sz w:val="28"/>
        </w:rPr>
        <w:t>за последние 3</w:t>
      </w:r>
      <w:r>
        <w:rPr>
          <w:rFonts w:ascii="Times New Roman" w:hAnsi="Times New Roman"/>
          <w:sz w:val="28"/>
        </w:rPr>
        <w:t xml:space="preserve"> года. </w:t>
      </w:r>
      <w:r>
        <w:rPr>
          <w:rFonts w:ascii="Times New Roman" w:hAnsi="Times New Roman"/>
          <w:sz w:val="28"/>
        </w:rPr>
        <w:t xml:space="preserve">Положительную динамику отметили только </w:t>
      </w:r>
      <w:r>
        <w:rPr>
          <w:rFonts w:ascii="Times New Roman" w:hAnsi="Times New Roman"/>
          <w:sz w:val="28"/>
        </w:rPr>
        <w:t>15</w:t>
      </w:r>
      <w:r>
        <w:rPr>
          <w:rFonts w:ascii="Times New Roman" w:hAnsi="Times New Roman"/>
          <w:sz w:val="28"/>
        </w:rPr>
        <w:t xml:space="preserve">% респондентов, снижение зафиксировали – </w:t>
      </w:r>
      <w:r>
        <w:rPr>
          <w:rFonts w:ascii="Times New Roman" w:hAnsi="Times New Roman"/>
          <w:sz w:val="28"/>
        </w:rPr>
        <w:t>10</w:t>
      </w:r>
      <w:r>
        <w:rPr>
          <w:rFonts w:ascii="Times New Roman" w:hAnsi="Times New Roman"/>
          <w:sz w:val="28"/>
        </w:rPr>
        <w:t xml:space="preserve">%, а </w:t>
      </w:r>
      <w:r>
        <w:rPr>
          <w:rFonts w:ascii="Times New Roman" w:hAnsi="Times New Roman"/>
          <w:sz w:val="28"/>
        </w:rPr>
        <w:t>что он не изменился отметили</w:t>
      </w:r>
      <w:r>
        <w:rPr>
          <w:rFonts w:ascii="Times New Roman" w:hAnsi="Times New Roman"/>
          <w:sz w:val="28"/>
        </w:rPr>
        <w:t xml:space="preserve"> –</w:t>
      </w:r>
      <w:r>
        <w:rPr>
          <w:rFonts w:ascii="Times New Roman" w:hAnsi="Times New Roman"/>
          <w:sz w:val="28"/>
        </w:rPr>
        <w:t xml:space="preserve"> 32</w:t>
      </w:r>
      <w:r>
        <w:rPr>
          <w:rFonts w:ascii="Times New Roman" w:hAnsi="Times New Roman"/>
          <w:sz w:val="28"/>
        </w:rPr>
        <w:t>%</w:t>
      </w:r>
      <w:r>
        <w:rPr>
          <w:rFonts w:ascii="Times New Roman" w:hAnsi="Times New Roman"/>
          <w:sz w:val="28"/>
        </w:rPr>
        <w:t xml:space="preserve"> опрошенных</w:t>
      </w:r>
      <w:r>
        <w:rPr>
          <w:rFonts w:ascii="Times New Roman" w:hAnsi="Times New Roman"/>
          <w:sz w:val="28"/>
        </w:rPr>
        <w:t>.</w:t>
      </w:r>
    </w:p>
    <w:p w14:paraId="51030000">
      <w:pPr>
        <w:spacing w:after="0"/>
        <w:ind w:firstLine="709" w:left="0"/>
        <w:jc w:val="both"/>
        <w:rPr>
          <w:rFonts w:ascii="Times New Roman" w:hAnsi="Times New Roman"/>
          <w:sz w:val="28"/>
        </w:rPr>
      </w:pPr>
      <w:r>
        <w:rPr>
          <w:rFonts w:ascii="Times New Roman" w:hAnsi="Times New Roman"/>
          <w:sz w:val="28"/>
        </w:rPr>
        <w:t xml:space="preserve">Большая часть опрошенных потребителей города </w:t>
      </w:r>
      <w:r>
        <w:rPr>
          <w:rFonts w:ascii="Times New Roman" w:hAnsi="Times New Roman"/>
          <w:sz w:val="28"/>
        </w:rPr>
        <w:t xml:space="preserve">скорее удовлетворены </w:t>
      </w:r>
      <w:r>
        <w:rPr>
          <w:rFonts w:ascii="Times New Roman" w:hAnsi="Times New Roman"/>
          <w:sz w:val="28"/>
        </w:rPr>
        <w:t>возможность</w:t>
      </w:r>
      <w:r>
        <w:rPr>
          <w:rFonts w:ascii="Times New Roman" w:hAnsi="Times New Roman"/>
          <w:sz w:val="28"/>
        </w:rPr>
        <w:t>ю</w:t>
      </w:r>
      <w:r>
        <w:rPr>
          <w:rFonts w:ascii="Times New Roman" w:hAnsi="Times New Roman"/>
          <w:sz w:val="28"/>
        </w:rPr>
        <w:t xml:space="preserve"> выбора, качеств</w:t>
      </w:r>
      <w:r>
        <w:rPr>
          <w:rFonts w:ascii="Times New Roman" w:hAnsi="Times New Roman"/>
          <w:sz w:val="28"/>
        </w:rPr>
        <w:t>ом</w:t>
      </w:r>
      <w:r>
        <w:rPr>
          <w:rFonts w:ascii="Times New Roman" w:hAnsi="Times New Roman"/>
          <w:sz w:val="28"/>
        </w:rPr>
        <w:t xml:space="preserve"> и цен</w:t>
      </w:r>
      <w:r>
        <w:rPr>
          <w:rFonts w:ascii="Times New Roman" w:hAnsi="Times New Roman"/>
          <w:sz w:val="28"/>
        </w:rPr>
        <w:t xml:space="preserve">ами на </w:t>
      </w:r>
      <w:r>
        <w:rPr>
          <w:rFonts w:ascii="Times New Roman" w:hAnsi="Times New Roman"/>
          <w:sz w:val="28"/>
        </w:rPr>
        <w:t>рынк</w:t>
      </w:r>
      <w:r>
        <w:rPr>
          <w:rFonts w:ascii="Times New Roman" w:hAnsi="Times New Roman"/>
          <w:sz w:val="28"/>
        </w:rPr>
        <w:t>е промышленности</w:t>
      </w:r>
      <w:r>
        <w:rPr>
          <w:rFonts w:ascii="Times New Roman" w:hAnsi="Times New Roman"/>
          <w:sz w:val="28"/>
        </w:rPr>
        <w:t xml:space="preserve"> (рисунок 2.</w:t>
      </w:r>
      <w:r>
        <w:rPr>
          <w:rFonts w:ascii="Times New Roman" w:hAnsi="Times New Roman"/>
          <w:sz w:val="28"/>
        </w:rPr>
        <w:t>28</w:t>
      </w:r>
      <w:r>
        <w:rPr>
          <w:rFonts w:ascii="Times New Roman" w:hAnsi="Times New Roman"/>
          <w:sz w:val="28"/>
        </w:rPr>
        <w:t xml:space="preserve">.), мнения их составили </w:t>
      </w:r>
      <w:r>
        <w:rPr>
          <w:rFonts w:ascii="Times New Roman" w:hAnsi="Times New Roman"/>
          <w:sz w:val="28"/>
        </w:rPr>
        <w:t>36</w:t>
      </w:r>
      <w:r>
        <w:rPr>
          <w:rFonts w:ascii="Times New Roman" w:hAnsi="Times New Roman"/>
          <w:sz w:val="28"/>
        </w:rPr>
        <w:t xml:space="preserve">%, </w:t>
      </w:r>
      <w:r>
        <w:rPr>
          <w:rFonts w:ascii="Times New Roman" w:hAnsi="Times New Roman"/>
          <w:sz w:val="28"/>
        </w:rPr>
        <w:t>40</w:t>
      </w:r>
      <w:r>
        <w:rPr>
          <w:rFonts w:ascii="Times New Roman" w:hAnsi="Times New Roman"/>
          <w:sz w:val="28"/>
        </w:rPr>
        <w:t xml:space="preserve">% и </w:t>
      </w:r>
      <w:r>
        <w:rPr>
          <w:rFonts w:ascii="Times New Roman" w:hAnsi="Times New Roman"/>
          <w:sz w:val="28"/>
        </w:rPr>
        <w:t>34</w:t>
      </w:r>
      <w:r>
        <w:rPr>
          <w:rFonts w:ascii="Times New Roman" w:hAnsi="Times New Roman"/>
          <w:sz w:val="28"/>
        </w:rPr>
        <w:t>% от опрошенных соответственно.</w:t>
      </w:r>
    </w:p>
    <w:p w14:paraId="52030000">
      <w:pPr>
        <w:spacing w:after="0"/>
        <w:ind w:firstLine="709" w:left="0"/>
        <w:jc w:val="both"/>
        <w:rPr>
          <w:rFonts w:ascii="Times New Roman" w:hAnsi="Times New Roman"/>
          <w:sz w:val="28"/>
        </w:rPr>
      </w:pPr>
      <w:r>
        <w:rPr>
          <w:rFonts w:ascii="Times New Roman" w:hAnsi="Times New Roman"/>
          <w:sz w:val="28"/>
        </w:rPr>
        <w:t>Не удовлетворены или скорее не удовлетворены выбором услуги, ее качеством или ценой (20%,19% и 19% соответственно), а удовлетворены –9% возможностью выбрать, 15% его качеством и 17% ценой рынка.</w:t>
      </w:r>
    </w:p>
    <w:p w14:paraId="53030000">
      <w:pPr>
        <w:spacing w:after="0"/>
        <w:ind/>
        <w:jc w:val="center"/>
        <w:rPr>
          <w:rFonts w:ascii="Times New Roman" w:hAnsi="Times New Roman"/>
          <w:b w:val="1"/>
          <w:sz w:val="28"/>
        </w:rPr>
      </w:pPr>
    </w:p>
    <w:p w14:paraId="54030000">
      <w:pPr>
        <w:spacing w:after="0"/>
        <w:ind/>
        <w:jc w:val="center"/>
        <w:rPr>
          <w:rFonts w:ascii="Times New Roman" w:hAnsi="Times New Roman"/>
          <w:b w:val="1"/>
          <w:sz w:val="28"/>
        </w:rPr>
      </w:pPr>
    </w:p>
    <w:p w14:paraId="55030000">
      <w:pPr>
        <w:spacing w:after="0"/>
        <w:ind/>
        <w:jc w:val="center"/>
        <w:rPr>
          <w:rFonts w:ascii="Times New Roman" w:hAnsi="Times New Roman"/>
          <w:b w:val="1"/>
          <w:sz w:val="28"/>
        </w:rPr>
      </w:pPr>
    </w:p>
    <w:p w14:paraId="56030000">
      <w:pPr>
        <w:spacing w:after="0"/>
        <w:ind/>
        <w:jc w:val="center"/>
        <w:rPr>
          <w:rFonts w:ascii="Times New Roman" w:hAnsi="Times New Roman"/>
          <w:b w:val="1"/>
          <w:sz w:val="28"/>
        </w:rPr>
      </w:pPr>
    </w:p>
    <w:p w14:paraId="57030000">
      <w:pPr>
        <w:spacing w:after="0"/>
        <w:ind/>
        <w:jc w:val="center"/>
        <w:rPr>
          <w:rFonts w:ascii="Times New Roman" w:hAnsi="Times New Roman"/>
          <w:b w:val="1"/>
          <w:sz w:val="28"/>
        </w:rPr>
      </w:pPr>
    </w:p>
    <w:p w14:paraId="58030000">
      <w:pPr>
        <w:spacing w:after="0"/>
        <w:ind/>
        <w:jc w:val="center"/>
        <w:rPr>
          <w:rFonts w:ascii="Times New Roman" w:hAnsi="Times New Roman"/>
          <w:b w:val="1"/>
          <w:sz w:val="28"/>
        </w:rPr>
      </w:pPr>
    </w:p>
    <w:p w14:paraId="59030000">
      <w:pPr>
        <w:spacing w:after="0"/>
        <w:ind/>
        <w:jc w:val="center"/>
        <w:rPr>
          <w:rFonts w:ascii="Times New Roman" w:hAnsi="Times New Roman"/>
          <w:b w:val="1"/>
          <w:sz w:val="28"/>
        </w:rPr>
      </w:pPr>
    </w:p>
    <w:p w14:paraId="5A030000">
      <w:pPr>
        <w:spacing w:after="0"/>
        <w:ind/>
        <w:jc w:val="center"/>
        <w:rPr>
          <w:rFonts w:ascii="Times New Roman" w:hAnsi="Times New Roman"/>
          <w:b w:val="1"/>
          <w:sz w:val="28"/>
        </w:rPr>
      </w:pPr>
    </w:p>
    <w:p w14:paraId="5B030000">
      <w:pPr>
        <w:spacing w:after="0"/>
        <w:ind/>
        <w:jc w:val="center"/>
        <w:rPr>
          <w:rFonts w:ascii="Times New Roman" w:hAnsi="Times New Roman"/>
          <w:b w:val="1"/>
          <w:sz w:val="28"/>
        </w:rPr>
      </w:pPr>
    </w:p>
    <w:p w14:paraId="5C030000">
      <w:pPr>
        <w:spacing w:after="0"/>
        <w:ind/>
        <w:jc w:val="center"/>
        <w:rPr>
          <w:rFonts w:ascii="Times New Roman" w:hAnsi="Times New Roman"/>
          <w:b w:val="1"/>
          <w:sz w:val="28"/>
        </w:rPr>
      </w:pPr>
    </w:p>
    <w:p w14:paraId="5D030000">
      <w:pPr>
        <w:spacing w:after="0"/>
        <w:ind/>
        <w:jc w:val="center"/>
        <w:rPr>
          <w:rFonts w:ascii="Times New Roman" w:hAnsi="Times New Roman"/>
          <w:b w:val="1"/>
          <w:sz w:val="28"/>
        </w:rPr>
      </w:pPr>
    </w:p>
    <w:p w14:paraId="5E030000">
      <w:pPr>
        <w:spacing w:after="0"/>
        <w:ind/>
        <w:jc w:val="center"/>
        <w:rPr>
          <w:rFonts w:ascii="Times New Roman" w:hAnsi="Times New Roman"/>
          <w:b w:val="1"/>
          <w:sz w:val="28"/>
        </w:rPr>
      </w:pPr>
      <w:r>
        <w:rPr>
          <w:rFonts w:ascii="Times New Roman" w:hAnsi="Times New Roman"/>
          <w:b w:val="1"/>
          <w:sz w:val="28"/>
        </w:rPr>
        <w:t>Уровень цен</w:t>
      </w:r>
    </w:p>
    <w:p w14:paraId="5F030000">
      <w:pPr>
        <w:spacing w:after="0"/>
        <w:ind/>
        <w:jc w:val="center"/>
        <w:rPr>
          <w:rFonts w:ascii="Times New Roman" w:hAnsi="Times New Roman"/>
          <w:b w:val="1"/>
          <w:sz w:val="28"/>
        </w:rPr>
      </w:pPr>
      <w:r>
        <w:rPr>
          <w:rFonts w:ascii="Times New Roman" w:hAnsi="Times New Roman"/>
          <w:b w:val="1"/>
          <w:sz w:val="28"/>
        </w:rPr>
        <w:drawing>
          <wp:inline>
            <wp:extent cx="4590415" cy="2749550"/>
            <wp:docPr hidden="false" id="124" name="Picture 124"/>
            <a:graphic>
              <a:graphicData uri="http://schemas.openxmlformats.org/drawingml/2006/picture">
                <pic:pic>
                  <pic:nvPicPr>
                    <pic:cNvPr hidden="false" id="123" name="Picture 123"/>
                    <pic:cNvPicPr preferRelativeResize="true"/>
                  </pic:nvPicPr>
                  <pic:blipFill>
                    <a:blip r:embed="rId65"/>
                    <a:srcRect b="0" l="0" r="0" t="0"/>
                    <a:stretch/>
                  </pic:blipFill>
                  <pic:spPr>
                    <a:xfrm flipH="false" flipV="false" rot="0">
                      <a:ext cx="4590415" cy="2749550"/>
                    </a:xfrm>
                    <a:prstGeom prst="rect"/>
                  </pic:spPr>
                </pic:pic>
              </a:graphicData>
            </a:graphic>
          </wp:inline>
        </w:drawing>
      </w:r>
    </w:p>
    <w:p w14:paraId="60030000">
      <w:pPr>
        <w:spacing w:after="0"/>
        <w:ind/>
        <w:jc w:val="center"/>
        <w:rPr>
          <w:rFonts w:ascii="Times New Roman" w:hAnsi="Times New Roman"/>
          <w:b w:val="1"/>
          <w:sz w:val="28"/>
        </w:rPr>
      </w:pPr>
      <w:r>
        <w:rPr>
          <w:rFonts w:ascii="Times New Roman" w:hAnsi="Times New Roman"/>
          <w:b w:val="1"/>
          <w:sz w:val="28"/>
        </w:rPr>
        <w:t>Качество</w:t>
      </w:r>
    </w:p>
    <w:p w14:paraId="61030000">
      <w:pPr>
        <w:spacing w:after="0"/>
        <w:ind/>
        <w:jc w:val="center"/>
        <w:rPr>
          <w:rFonts w:ascii="Times New Roman" w:hAnsi="Times New Roman"/>
          <w:sz w:val="28"/>
        </w:rPr>
      </w:pPr>
      <w:r>
        <w:rPr>
          <w:rFonts w:ascii="Times New Roman" w:hAnsi="Times New Roman"/>
          <w:sz w:val="28"/>
        </w:rPr>
        <w:drawing>
          <wp:inline>
            <wp:extent cx="4590415" cy="2749550"/>
            <wp:docPr hidden="false" id="126" name="Picture 126"/>
            <a:graphic>
              <a:graphicData uri="http://schemas.openxmlformats.org/drawingml/2006/picture">
                <pic:pic>
                  <pic:nvPicPr>
                    <pic:cNvPr hidden="false" id="125" name="Picture 125"/>
                    <pic:cNvPicPr preferRelativeResize="true"/>
                  </pic:nvPicPr>
                  <pic:blipFill>
                    <a:blip r:embed="rId66"/>
                    <a:srcRect b="0" l="0" r="0" t="0"/>
                    <a:stretch/>
                  </pic:blipFill>
                  <pic:spPr>
                    <a:xfrm flipH="false" flipV="false" rot="0">
                      <a:ext cx="4590415" cy="2749550"/>
                    </a:xfrm>
                    <a:prstGeom prst="rect"/>
                  </pic:spPr>
                </pic:pic>
              </a:graphicData>
            </a:graphic>
          </wp:inline>
        </w:drawing>
      </w:r>
    </w:p>
    <w:p w14:paraId="62030000">
      <w:pPr>
        <w:spacing w:after="0"/>
        <w:ind/>
        <w:jc w:val="center"/>
        <w:rPr>
          <w:rFonts w:ascii="Times New Roman" w:hAnsi="Times New Roman"/>
          <w:b w:val="1"/>
          <w:sz w:val="28"/>
        </w:rPr>
      </w:pPr>
      <w:r>
        <w:rPr>
          <w:rFonts w:ascii="Times New Roman" w:hAnsi="Times New Roman"/>
          <w:b w:val="1"/>
          <w:sz w:val="28"/>
        </w:rPr>
        <w:t>Возможность выбора</w:t>
      </w:r>
    </w:p>
    <w:p w14:paraId="63030000">
      <w:pPr>
        <w:spacing w:after="0"/>
        <w:ind/>
        <w:jc w:val="center"/>
        <w:rPr>
          <w:rFonts w:ascii="Times New Roman" w:hAnsi="Times New Roman"/>
          <w:sz w:val="28"/>
        </w:rPr>
      </w:pPr>
      <w:r>
        <w:rPr>
          <w:rFonts w:ascii="Times New Roman" w:hAnsi="Times New Roman"/>
          <w:sz w:val="28"/>
        </w:rPr>
        <w:drawing>
          <wp:inline>
            <wp:extent cx="4590415" cy="2749550"/>
            <wp:docPr hidden="false" id="128" name="Picture 128"/>
            <a:graphic>
              <a:graphicData uri="http://schemas.openxmlformats.org/drawingml/2006/picture">
                <pic:pic>
                  <pic:nvPicPr>
                    <pic:cNvPr hidden="false" id="127" name="Picture 127"/>
                    <pic:cNvPicPr preferRelativeResize="true"/>
                  </pic:nvPicPr>
                  <pic:blipFill>
                    <a:blip r:embed="rId67"/>
                    <a:srcRect b="0" l="0" r="0" t="0"/>
                    <a:stretch/>
                  </pic:blipFill>
                  <pic:spPr>
                    <a:xfrm flipH="false" flipV="false" rot="0">
                      <a:ext cx="4590415" cy="2749550"/>
                    </a:xfrm>
                    <a:prstGeom prst="rect"/>
                  </pic:spPr>
                </pic:pic>
              </a:graphicData>
            </a:graphic>
          </wp:inline>
        </w:drawing>
      </w:r>
    </w:p>
    <w:p w14:paraId="6403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28</w:t>
      </w:r>
      <w:r>
        <w:rPr>
          <w:rFonts w:ascii="Times New Roman" w:hAnsi="Times New Roman"/>
          <w:sz w:val="20"/>
        </w:rPr>
        <w:t xml:space="preserve">. Степень удовлетворенности потребителей характеристиками продукции на рынке </w:t>
      </w:r>
      <w:r>
        <w:rPr>
          <w:rFonts w:ascii="Times New Roman" w:hAnsi="Times New Roman"/>
          <w:sz w:val="20"/>
        </w:rPr>
        <w:t>промышленности</w:t>
      </w:r>
      <w:r>
        <w:rPr>
          <w:rFonts w:ascii="Times New Roman" w:hAnsi="Times New Roman"/>
          <w:sz w:val="20"/>
        </w:rPr>
        <w:t>, % к опрошенным</w:t>
      </w:r>
    </w:p>
    <w:p w14:paraId="65030000">
      <w:pPr>
        <w:spacing w:after="0"/>
        <w:ind w:firstLine="709" w:left="0"/>
        <w:jc w:val="both"/>
        <w:rPr>
          <w:rFonts w:ascii="Times New Roman" w:hAnsi="Times New Roman"/>
          <w:sz w:val="28"/>
        </w:rPr>
      </w:pPr>
    </w:p>
    <w:p w14:paraId="66030000">
      <w:pPr>
        <w:spacing w:after="0"/>
        <w:ind w:firstLine="709" w:left="0"/>
        <w:jc w:val="both"/>
        <w:rPr>
          <w:rFonts w:ascii="Times New Roman" w:hAnsi="Times New Roman"/>
          <w:sz w:val="28"/>
        </w:rPr>
      </w:pPr>
      <w:r>
        <w:rPr>
          <w:rFonts w:ascii="Times New Roman" w:hAnsi="Times New Roman"/>
          <w:sz w:val="28"/>
        </w:rPr>
        <w:t xml:space="preserve">Характеристика рынка </w:t>
      </w:r>
      <w:r>
        <w:rPr>
          <w:rFonts w:ascii="Times New Roman" w:hAnsi="Times New Roman"/>
          <w:sz w:val="28"/>
        </w:rPr>
        <w:t>услуг промышленности</w:t>
      </w:r>
      <w:r>
        <w:rPr>
          <w:rFonts w:ascii="Times New Roman" w:hAnsi="Times New Roman"/>
          <w:sz w:val="28"/>
        </w:rPr>
        <w:t xml:space="preserve"> показала, что </w:t>
      </w:r>
      <w:r>
        <w:rPr>
          <w:rFonts w:ascii="Times New Roman" w:hAnsi="Times New Roman"/>
          <w:sz w:val="28"/>
        </w:rPr>
        <w:t>рынок достаточно развит.</w:t>
      </w:r>
      <w:r>
        <w:rPr>
          <w:rFonts w:ascii="Times New Roman" w:hAnsi="Times New Roman"/>
          <w:sz w:val="28"/>
        </w:rPr>
        <w:t xml:space="preserve"> </w:t>
      </w:r>
    </w:p>
    <w:p w14:paraId="67030000">
      <w:pPr>
        <w:spacing w:after="0"/>
        <w:ind/>
        <w:jc w:val="center"/>
        <w:rPr>
          <w:rFonts w:ascii="Times New Roman" w:hAnsi="Times New Roman"/>
          <w:b w:val="1"/>
          <w:sz w:val="28"/>
        </w:rPr>
      </w:pPr>
      <w:r>
        <w:rPr>
          <w:rFonts w:ascii="Times New Roman" w:hAnsi="Times New Roman"/>
          <w:b w:val="1"/>
          <w:sz w:val="28"/>
        </w:rPr>
        <w:t xml:space="preserve">Мнение потребителей о качестве официальной информации о состоянии конкурентной среды на рынках товаров и услуг муниципального </w:t>
      </w:r>
      <w:r>
        <w:rPr>
          <w:rFonts w:ascii="Times New Roman" w:hAnsi="Times New Roman"/>
          <w:b w:val="1"/>
          <w:sz w:val="28"/>
        </w:rPr>
        <w:t>города Волгодонска</w:t>
      </w:r>
      <w:r>
        <w:rPr>
          <w:rFonts w:ascii="Times New Roman" w:hAnsi="Times New Roman"/>
          <w:b w:val="1"/>
          <w:sz w:val="28"/>
        </w:rPr>
        <w:t xml:space="preserve"> и деятельности по содействию развитию конкуренции, размещаемой в открытом доступе</w:t>
      </w:r>
    </w:p>
    <w:p w14:paraId="68030000">
      <w:pPr>
        <w:spacing w:after="0"/>
        <w:ind/>
        <w:rPr>
          <w:rFonts w:ascii="Times New Roman" w:hAnsi="Times New Roman"/>
          <w:sz w:val="28"/>
        </w:rPr>
      </w:pPr>
    </w:p>
    <w:p w14:paraId="69030000">
      <w:pPr>
        <w:spacing w:after="0"/>
        <w:ind w:firstLine="709" w:left="0"/>
        <w:jc w:val="both"/>
        <w:rPr>
          <w:rFonts w:ascii="Times New Roman" w:hAnsi="Times New Roman"/>
          <w:sz w:val="28"/>
        </w:rPr>
      </w:pPr>
      <w:r>
        <w:rPr>
          <w:rFonts w:ascii="Times New Roman" w:hAnsi="Times New Roman"/>
          <w:sz w:val="28"/>
        </w:rPr>
        <w:t xml:space="preserve">Одной из основных задач по развитию конкуренции в городе является повышение уровня информационной открытости деятельности органов </w:t>
      </w:r>
      <w:r>
        <w:rPr>
          <w:rFonts w:ascii="Times New Roman" w:hAnsi="Times New Roman"/>
          <w:sz w:val="28"/>
        </w:rPr>
        <w:t>местного самоуправления</w:t>
      </w:r>
      <w:r>
        <w:rPr>
          <w:rFonts w:ascii="Times New Roman" w:hAnsi="Times New Roman"/>
          <w:sz w:val="28"/>
        </w:rPr>
        <w:t xml:space="preserve">, в том числе по вопросу о состоянии конкурентной среды на рынках товаров и услуг города </w:t>
      </w:r>
      <w:r>
        <w:rPr>
          <w:rFonts w:ascii="Times New Roman" w:hAnsi="Times New Roman"/>
          <w:sz w:val="28"/>
        </w:rPr>
        <w:t>Волгодонска</w:t>
      </w:r>
      <w:r>
        <w:rPr>
          <w:rFonts w:ascii="Times New Roman" w:hAnsi="Times New Roman"/>
          <w:sz w:val="28"/>
        </w:rPr>
        <w:t>.</w:t>
      </w:r>
    </w:p>
    <w:p w14:paraId="6A030000">
      <w:pPr>
        <w:pStyle w:val="Style_13"/>
        <w:spacing w:line="276" w:lineRule="auto"/>
        <w:ind w:firstLine="709" w:left="0"/>
        <w:jc w:val="both"/>
        <w:rPr>
          <w:rFonts w:ascii="Times New Roman" w:hAnsi="Times New Roman"/>
          <w:sz w:val="28"/>
        </w:rPr>
      </w:pPr>
      <w:r>
        <w:rPr>
          <w:rFonts w:ascii="Times New Roman" w:hAnsi="Times New Roman"/>
          <w:sz w:val="28"/>
        </w:rPr>
        <w:t xml:space="preserve">Измерение оценки качества официальной информации о состоянии конкурентной среды на рынках товаров и услуг и деятельности по содействию развитию конкуренции, размещаемой в открытом доступе, осуществлялось по трем параметрам – уровню доступности, уровню понятности и удобству получения информации </w:t>
      </w:r>
    </w:p>
    <w:p w14:paraId="6B030000">
      <w:pPr>
        <w:spacing w:after="0"/>
        <w:ind w:firstLine="709" w:left="0"/>
        <w:jc w:val="both"/>
        <w:rPr>
          <w:rFonts w:ascii="Times New Roman" w:hAnsi="Times New Roman"/>
          <w:sz w:val="28"/>
        </w:rPr>
      </w:pPr>
      <w:r>
        <w:rPr>
          <w:rFonts w:ascii="Times New Roman" w:hAnsi="Times New Roman"/>
          <w:sz w:val="28"/>
        </w:rPr>
        <w:t xml:space="preserve">В результате, </w:t>
      </w:r>
      <w:r>
        <w:rPr>
          <w:rFonts w:ascii="Times New Roman" w:hAnsi="Times New Roman"/>
          <w:sz w:val="28"/>
        </w:rPr>
        <w:t>опрос показал, что большинство респондентов затруднились ответить об уровне понятности и получения информации о развитии конкуренции, при этом 46% посчитали что она доступна.</w:t>
      </w:r>
    </w:p>
    <w:p w14:paraId="6C030000">
      <w:pPr>
        <w:spacing w:after="0"/>
        <w:ind w:firstLine="709" w:left="0"/>
        <w:jc w:val="both"/>
        <w:rPr>
          <w:rFonts w:ascii="Times New Roman" w:hAnsi="Times New Roman"/>
          <w:color w:val="22252D"/>
          <w:sz w:val="28"/>
        </w:rPr>
      </w:pPr>
      <w:r>
        <w:rPr>
          <w:rFonts w:ascii="Times New Roman" w:hAnsi="Times New Roman"/>
          <w:sz w:val="28"/>
        </w:rPr>
        <w:t xml:space="preserve">В целях информирования граждан о развитии конкуренции на официальном сайте Администрации города Волгодонска создан раздел «Развитие конкуренции» в котором размещены нормативно-правовые акты о развитии конкуренции на территории города Волгодонска, «Дорожная карта» о развитии </w:t>
      </w:r>
      <w:r>
        <w:rPr>
          <w:rFonts w:ascii="Times New Roman" w:hAnsi="Times New Roman"/>
          <w:sz w:val="28"/>
        </w:rPr>
        <w:t xml:space="preserve">конкуренции и </w:t>
      </w:r>
      <w:r>
        <w:rPr>
          <w:rFonts w:ascii="Times New Roman" w:hAnsi="Times New Roman"/>
          <w:color w:val="22252D"/>
          <w:sz w:val="28"/>
        </w:rPr>
        <w:t>перечень социально значимых и приоритетных рынков для содействия развитию конкуренции</w:t>
      </w:r>
      <w:r>
        <w:rPr>
          <w:rFonts w:ascii="Times New Roman" w:hAnsi="Times New Roman"/>
          <w:color w:val="22252D"/>
          <w:sz w:val="28"/>
        </w:rPr>
        <w:t>.</w:t>
      </w:r>
    </w:p>
    <w:p w14:paraId="6D030000">
      <w:pPr>
        <w:spacing w:after="0"/>
        <w:ind w:firstLine="709" w:left="0"/>
        <w:jc w:val="center"/>
        <w:rPr>
          <w:rFonts w:ascii="Times New Roman" w:hAnsi="Times New Roman"/>
          <w:b w:val="1"/>
          <w:sz w:val="28"/>
        </w:rPr>
      </w:pPr>
      <w:r>
        <w:rPr>
          <w:rFonts w:ascii="Times New Roman" w:hAnsi="Times New Roman"/>
          <w:b w:val="1"/>
          <w:sz w:val="28"/>
        </w:rPr>
        <w:t>Оценка потребителями качества услуг субъектов естественных монополий</w:t>
      </w:r>
    </w:p>
    <w:p w14:paraId="6E030000">
      <w:pPr>
        <w:spacing w:after="0"/>
        <w:ind w:firstLine="709" w:left="0"/>
        <w:jc w:val="both"/>
        <w:rPr>
          <w:rFonts w:ascii="Times New Roman" w:hAnsi="Times New Roman"/>
          <w:sz w:val="28"/>
        </w:rPr>
      </w:pPr>
      <w:r>
        <w:rPr>
          <w:rFonts w:ascii="Times New Roman" w:hAnsi="Times New Roman"/>
          <w:sz w:val="28"/>
        </w:rPr>
        <w:t>Потребителям товаров, работ и услуг г</w:t>
      </w:r>
      <w:r>
        <w:rPr>
          <w:rFonts w:ascii="Times New Roman" w:hAnsi="Times New Roman"/>
          <w:sz w:val="28"/>
        </w:rPr>
        <w:t>орода Волгодонска</w:t>
      </w:r>
      <w:r>
        <w:rPr>
          <w:rFonts w:ascii="Times New Roman" w:hAnsi="Times New Roman"/>
          <w:sz w:val="28"/>
        </w:rPr>
        <w:t xml:space="preserve"> было предложено оценить качество</w:t>
      </w:r>
      <w:r>
        <w:rPr>
          <w:rFonts w:ascii="Times New Roman" w:hAnsi="Times New Roman"/>
          <w:sz w:val="28"/>
        </w:rPr>
        <w:t xml:space="preserve"> и цену на</w:t>
      </w:r>
      <w:r>
        <w:rPr>
          <w:rFonts w:ascii="Times New Roman" w:hAnsi="Times New Roman"/>
          <w:sz w:val="28"/>
        </w:rPr>
        <w:t xml:space="preserve"> услуг</w:t>
      </w:r>
      <w:r>
        <w:rPr>
          <w:rFonts w:ascii="Times New Roman" w:hAnsi="Times New Roman"/>
          <w:sz w:val="28"/>
        </w:rPr>
        <w:t>и</w:t>
      </w:r>
      <w:r>
        <w:rPr>
          <w:rFonts w:ascii="Times New Roman" w:hAnsi="Times New Roman"/>
          <w:sz w:val="28"/>
        </w:rPr>
        <w:t xml:space="preserve"> субъектов естественных монополий.</w:t>
      </w:r>
    </w:p>
    <w:p w14:paraId="6F030000">
      <w:pPr>
        <w:spacing w:after="0"/>
        <w:ind w:firstLine="709" w:left="0"/>
        <w:jc w:val="both"/>
        <w:rPr>
          <w:rFonts w:ascii="Times New Roman" w:hAnsi="Times New Roman"/>
          <w:sz w:val="28"/>
        </w:rPr>
      </w:pPr>
      <w:r>
        <w:rPr>
          <w:rFonts w:ascii="Times New Roman" w:hAnsi="Times New Roman"/>
          <w:sz w:val="28"/>
        </w:rPr>
        <w:t>В результате большая часть респондентов оказалась в той или иной мере удовлетворена</w:t>
      </w:r>
      <w:r>
        <w:rPr>
          <w:rFonts w:ascii="Times New Roman" w:hAnsi="Times New Roman"/>
          <w:sz w:val="28"/>
        </w:rPr>
        <w:t xml:space="preserve"> качеством</w:t>
      </w:r>
      <w:r>
        <w:rPr>
          <w:rFonts w:ascii="Times New Roman" w:hAnsi="Times New Roman"/>
          <w:sz w:val="28"/>
        </w:rPr>
        <w:t xml:space="preserve"> услуг практически всех естественных монополий</w:t>
      </w:r>
      <w:r>
        <w:rPr>
          <w:rFonts w:ascii="Times New Roman" w:hAnsi="Times New Roman"/>
          <w:sz w:val="28"/>
        </w:rPr>
        <w:t xml:space="preserve"> </w:t>
      </w:r>
      <w:r>
        <w:rPr>
          <w:rFonts w:ascii="Times New Roman" w:hAnsi="Times New Roman"/>
          <w:sz w:val="28"/>
        </w:rPr>
        <w:t>(рисунок 2.</w:t>
      </w:r>
      <w:r>
        <w:rPr>
          <w:rFonts w:ascii="Times New Roman" w:hAnsi="Times New Roman"/>
          <w:sz w:val="28"/>
        </w:rPr>
        <w:t>29</w:t>
      </w:r>
      <w:r>
        <w:rPr>
          <w:rFonts w:ascii="Times New Roman" w:hAnsi="Times New Roman"/>
          <w:sz w:val="28"/>
        </w:rPr>
        <w:t>.)</w:t>
      </w:r>
      <w:r>
        <w:rPr>
          <w:rFonts w:ascii="Times New Roman" w:hAnsi="Times New Roman"/>
          <w:sz w:val="28"/>
        </w:rPr>
        <w:t>.</w:t>
      </w:r>
    </w:p>
    <w:p w14:paraId="70030000">
      <w:pPr>
        <w:spacing w:after="0"/>
        <w:ind/>
        <w:jc w:val="center"/>
        <w:rPr>
          <w:rFonts w:ascii="Times New Roman" w:hAnsi="Times New Roman"/>
          <w:sz w:val="28"/>
        </w:rPr>
      </w:pPr>
      <w:r>
        <w:rPr>
          <w:rFonts w:ascii="Times New Roman" w:hAnsi="Times New Roman"/>
          <w:sz w:val="28"/>
        </w:rPr>
        <w:drawing>
          <wp:inline>
            <wp:extent cx="4590415" cy="3274059"/>
            <wp:docPr hidden="false" id="130" name="Picture 130"/>
            <a:graphic>
              <a:graphicData uri="http://schemas.openxmlformats.org/drawingml/2006/picture">
                <pic:pic>
                  <pic:nvPicPr>
                    <pic:cNvPr hidden="false" id="129" name="Picture 129"/>
                    <pic:cNvPicPr preferRelativeResize="true"/>
                  </pic:nvPicPr>
                  <pic:blipFill>
                    <a:blip r:embed="rId68"/>
                    <a:srcRect b="0" l="0" r="0" t="0"/>
                    <a:stretch/>
                  </pic:blipFill>
                  <pic:spPr>
                    <a:xfrm flipH="false" flipV="false" rot="0">
                      <a:ext cx="4590415" cy="3274059"/>
                    </a:xfrm>
                    <a:prstGeom prst="rect"/>
                  </pic:spPr>
                </pic:pic>
              </a:graphicData>
            </a:graphic>
          </wp:inline>
        </w:drawing>
      </w:r>
    </w:p>
    <w:p w14:paraId="71030000">
      <w:pPr>
        <w:spacing w:after="0"/>
        <w:ind/>
        <w:jc w:val="center"/>
        <w:rPr>
          <w:rFonts w:ascii="Times New Roman" w:hAnsi="Times New Roman"/>
          <w:sz w:val="20"/>
        </w:rPr>
      </w:pPr>
      <w:r>
        <w:rPr>
          <w:rFonts w:ascii="Times New Roman" w:hAnsi="Times New Roman"/>
          <w:sz w:val="20"/>
        </w:rPr>
        <w:t>Рисунок 2.</w:t>
      </w:r>
      <w:r>
        <w:rPr>
          <w:rFonts w:ascii="Times New Roman" w:hAnsi="Times New Roman"/>
          <w:sz w:val="20"/>
        </w:rPr>
        <w:t>29</w:t>
      </w:r>
      <w:r>
        <w:rPr>
          <w:rFonts w:ascii="Times New Roman" w:hAnsi="Times New Roman"/>
          <w:sz w:val="20"/>
        </w:rPr>
        <w:t>. Оценка качества услуг субъектов естественных монополий, в % от числа опрошенных</w:t>
      </w:r>
    </w:p>
    <w:p w14:paraId="72030000">
      <w:pPr>
        <w:spacing w:after="0"/>
        <w:ind w:firstLine="709" w:left="0"/>
        <w:jc w:val="both"/>
        <w:rPr>
          <w:rFonts w:ascii="Times New Roman" w:hAnsi="Times New Roman"/>
          <w:sz w:val="28"/>
        </w:rPr>
      </w:pPr>
      <w:r>
        <w:rPr>
          <w:rFonts w:ascii="Times New Roman" w:hAnsi="Times New Roman"/>
          <w:sz w:val="28"/>
        </w:rPr>
        <w:t xml:space="preserve">По уровню цен основная часть опрошенных указали на высокий ее уровень </w:t>
      </w:r>
      <w:r>
        <w:rPr>
          <w:rFonts w:ascii="Times New Roman" w:hAnsi="Times New Roman"/>
          <w:sz w:val="28"/>
        </w:rPr>
        <w:t>83</w:t>
      </w:r>
      <w:r>
        <w:rPr>
          <w:rFonts w:ascii="Times New Roman" w:hAnsi="Times New Roman"/>
          <w:sz w:val="28"/>
        </w:rPr>
        <w:t>% на услуги теплоснабжения</w:t>
      </w:r>
      <w:r>
        <w:rPr>
          <w:rFonts w:ascii="Times New Roman" w:hAnsi="Times New Roman"/>
          <w:sz w:val="28"/>
        </w:rPr>
        <w:t>,</w:t>
      </w:r>
      <w:r>
        <w:rPr>
          <w:rFonts w:ascii="Times New Roman" w:hAnsi="Times New Roman"/>
          <w:sz w:val="28"/>
        </w:rPr>
        <w:t xml:space="preserve"> на услуги по водоснабжению, водоотведению до 82% (рисунок 2.30).</w:t>
      </w:r>
    </w:p>
    <w:p w14:paraId="73030000">
      <w:pPr>
        <w:spacing w:after="0"/>
        <w:ind w:firstLine="709" w:left="0"/>
        <w:jc w:val="both"/>
        <w:rPr>
          <w:rFonts w:ascii="Times New Roman" w:hAnsi="Times New Roman"/>
          <w:sz w:val="28"/>
        </w:rPr>
      </w:pPr>
      <w:r>
        <w:rPr>
          <w:rFonts w:ascii="Times New Roman" w:hAnsi="Times New Roman"/>
          <w:sz w:val="28"/>
        </w:rPr>
        <w:t xml:space="preserve">При этом были получены ответы о низком уровне цен на услуги газоснабжения. </w:t>
      </w:r>
    </w:p>
    <w:p w14:paraId="74030000">
      <w:pPr>
        <w:pStyle w:val="Style_15"/>
      </w:pPr>
      <w:r>
        <w:drawing>
          <wp:inline>
            <wp:extent cx="4590415" cy="2749550"/>
            <wp:docPr hidden="false" id="132" name="Picture 132"/>
            <a:graphic>
              <a:graphicData uri="http://schemas.openxmlformats.org/drawingml/2006/picture">
                <pic:pic>
                  <pic:nvPicPr>
                    <pic:cNvPr hidden="false" id="131" name="Picture 131"/>
                    <pic:cNvPicPr preferRelativeResize="true"/>
                  </pic:nvPicPr>
                  <pic:blipFill>
                    <a:blip r:embed="rId69"/>
                    <a:srcRect b="0" l="0" r="0" t="0"/>
                    <a:stretch/>
                  </pic:blipFill>
                  <pic:spPr>
                    <a:xfrm flipH="false" flipV="false" rot="0">
                      <a:ext cx="4590415" cy="2749550"/>
                    </a:xfrm>
                    <a:prstGeom prst="rect"/>
                  </pic:spPr>
                </pic:pic>
              </a:graphicData>
            </a:graphic>
          </wp:inline>
        </w:drawing>
      </w:r>
    </w:p>
    <w:p w14:paraId="75030000">
      <w:pPr>
        <w:pStyle w:val="Style_15"/>
        <w:rPr>
          <w:sz w:val="20"/>
        </w:rPr>
      </w:pPr>
      <w:r>
        <w:rPr>
          <w:sz w:val="20"/>
        </w:rPr>
        <w:t>Рисунок 2.</w:t>
      </w:r>
      <w:r>
        <w:rPr>
          <w:sz w:val="20"/>
        </w:rPr>
        <w:t>30</w:t>
      </w:r>
      <w:r>
        <w:rPr>
          <w:sz w:val="20"/>
        </w:rPr>
        <w:t xml:space="preserve">. Оценка </w:t>
      </w:r>
      <w:r>
        <w:rPr>
          <w:sz w:val="20"/>
        </w:rPr>
        <w:t>цены</w:t>
      </w:r>
      <w:r>
        <w:rPr>
          <w:sz w:val="20"/>
        </w:rPr>
        <w:t xml:space="preserve"> услуг субъектов естественных монополий, в % от числа опрошенных</w:t>
      </w:r>
    </w:p>
    <w:p w14:paraId="76030000">
      <w:pPr>
        <w:spacing w:after="0"/>
        <w:ind w:firstLine="709" w:left="0"/>
        <w:jc w:val="both"/>
        <w:rPr>
          <w:rFonts w:ascii="Times New Roman" w:hAnsi="Times New Roman"/>
          <w:sz w:val="28"/>
        </w:rPr>
      </w:pPr>
    </w:p>
    <w:p w14:paraId="77030000">
      <w:pPr>
        <w:spacing w:after="0" w:line="240" w:lineRule="auto"/>
        <w:ind w:firstLine="709" w:left="0"/>
        <w:jc w:val="both"/>
        <w:rPr>
          <w:rFonts w:ascii="Times New Roman" w:hAnsi="Times New Roman"/>
          <w:sz w:val="28"/>
        </w:rPr>
      </w:pPr>
      <w:r>
        <w:rPr>
          <w:rFonts w:ascii="Times New Roman" w:hAnsi="Times New Roman"/>
          <w:sz w:val="28"/>
        </w:rPr>
        <w:t xml:space="preserve">В процессе опроса респондентам было предложено определить основные товары и услуги, на которые, по их мнению, цены в городе </w:t>
      </w:r>
      <w:r>
        <w:rPr>
          <w:rFonts w:ascii="Times New Roman" w:hAnsi="Times New Roman"/>
          <w:sz w:val="28"/>
        </w:rPr>
        <w:t>Волгодонске</w:t>
      </w:r>
      <w:r>
        <w:rPr>
          <w:rFonts w:ascii="Times New Roman" w:hAnsi="Times New Roman"/>
          <w:sz w:val="28"/>
        </w:rPr>
        <w:t xml:space="preserve"> выше по сравнению с другими </w:t>
      </w:r>
      <w:r>
        <w:rPr>
          <w:rFonts w:ascii="Times New Roman" w:hAnsi="Times New Roman"/>
          <w:sz w:val="28"/>
        </w:rPr>
        <w:t>городами Ростовской области</w:t>
      </w:r>
      <w:r>
        <w:rPr>
          <w:rFonts w:ascii="Times New Roman" w:hAnsi="Times New Roman"/>
          <w:sz w:val="28"/>
        </w:rPr>
        <w:t xml:space="preserve">. </w:t>
      </w:r>
    </w:p>
    <w:p w14:paraId="78030000">
      <w:pPr>
        <w:spacing w:after="0"/>
        <w:ind w:firstLine="709" w:left="0"/>
        <w:jc w:val="both"/>
        <w:rPr>
          <w:rFonts w:ascii="Times New Roman" w:hAnsi="Times New Roman"/>
          <w:sz w:val="28"/>
        </w:rPr>
      </w:pPr>
      <w:r>
        <w:rPr>
          <w:rFonts w:ascii="Times New Roman" w:hAnsi="Times New Roman"/>
          <w:sz w:val="28"/>
        </w:rPr>
        <w:t>В соответствии с полученными данными, ответы можно подразделить на три основные подгруппы: продовольственные и непродопольственные товары, а также услуги населению.</w:t>
      </w:r>
    </w:p>
    <w:p w14:paraId="79030000">
      <w:pPr>
        <w:spacing w:after="0"/>
        <w:ind w:firstLine="709" w:left="0"/>
        <w:jc w:val="both"/>
        <w:rPr>
          <w:rFonts w:ascii="Times New Roman" w:hAnsi="Times New Roman"/>
          <w:sz w:val="28"/>
        </w:rPr>
      </w:pPr>
      <w:r>
        <w:rPr>
          <w:rFonts w:ascii="Times New Roman" w:hAnsi="Times New Roman"/>
          <w:sz w:val="28"/>
        </w:rPr>
        <w:t xml:space="preserve">Так, по мнению опрошенных наиболее высокие цены на продовольственные товары приходятся на чай </w:t>
      </w:r>
      <w:r>
        <w:rPr>
          <w:rFonts w:ascii="Times New Roman" w:hAnsi="Times New Roman"/>
          <w:sz w:val="28"/>
        </w:rPr>
        <w:t>49</w:t>
      </w:r>
      <w:r>
        <w:rPr>
          <w:rFonts w:ascii="Times New Roman" w:hAnsi="Times New Roman"/>
          <w:sz w:val="28"/>
        </w:rPr>
        <w:t xml:space="preserve">% от числа опрошенных. </w:t>
      </w:r>
    </w:p>
    <w:p w14:paraId="7A030000">
      <w:pPr>
        <w:spacing w:after="0" w:line="240" w:lineRule="auto"/>
        <w:ind w:firstLine="709" w:left="0"/>
        <w:jc w:val="both"/>
        <w:rPr>
          <w:rFonts w:ascii="Times New Roman" w:hAnsi="Times New Roman"/>
          <w:sz w:val="28"/>
        </w:rPr>
      </w:pPr>
      <w:r>
        <w:rPr>
          <w:rFonts w:ascii="Times New Roman" w:hAnsi="Times New Roman"/>
          <w:sz w:val="28"/>
        </w:rPr>
        <w:t>В продуктовой линейке  высокие цены большинство потребителей отметили по следующим позициям:</w:t>
      </w:r>
    </w:p>
    <w:p w14:paraId="7B030000">
      <w:pPr>
        <w:spacing w:after="0" w:line="240" w:lineRule="auto"/>
        <w:ind w:firstLine="709" w:left="0"/>
        <w:jc w:val="both"/>
        <w:rPr>
          <w:rFonts w:ascii="Times New Roman" w:hAnsi="Times New Roman"/>
          <w:sz w:val="28"/>
        </w:rPr>
      </w:pPr>
      <w:r>
        <w:rPr>
          <w:rFonts w:ascii="Times New Roman" w:hAnsi="Times New Roman"/>
          <w:sz w:val="28"/>
        </w:rPr>
        <w:t>- рыба и рыбные товары (</w:t>
      </w:r>
      <w:r>
        <w:rPr>
          <w:rFonts w:ascii="Times New Roman" w:hAnsi="Times New Roman"/>
          <w:sz w:val="28"/>
        </w:rPr>
        <w:t>4</w:t>
      </w:r>
      <w:r>
        <w:rPr>
          <w:rFonts w:ascii="Times New Roman" w:hAnsi="Times New Roman"/>
          <w:sz w:val="28"/>
        </w:rPr>
        <w:t>3% участников опроса);</w:t>
      </w:r>
    </w:p>
    <w:p w14:paraId="7C030000">
      <w:pPr>
        <w:spacing w:after="0" w:line="240" w:lineRule="auto"/>
        <w:ind w:firstLine="709" w:left="0"/>
        <w:jc w:val="both"/>
        <w:rPr>
          <w:rFonts w:ascii="Times New Roman" w:hAnsi="Times New Roman"/>
          <w:sz w:val="28"/>
        </w:rPr>
      </w:pPr>
      <w:r>
        <w:rPr>
          <w:rFonts w:ascii="Times New Roman" w:hAnsi="Times New Roman"/>
          <w:sz w:val="28"/>
        </w:rPr>
        <w:t>- молоко и молочные продукты (</w:t>
      </w:r>
      <w:r>
        <w:rPr>
          <w:rFonts w:ascii="Times New Roman" w:hAnsi="Times New Roman"/>
          <w:sz w:val="28"/>
        </w:rPr>
        <w:t>1</w:t>
      </w:r>
      <w:r>
        <w:rPr>
          <w:rFonts w:ascii="Times New Roman" w:hAnsi="Times New Roman"/>
          <w:sz w:val="28"/>
        </w:rPr>
        <w:t>7%);</w:t>
      </w:r>
    </w:p>
    <w:p w14:paraId="7D030000">
      <w:pPr>
        <w:spacing w:after="0" w:line="240" w:lineRule="auto"/>
        <w:ind w:firstLine="709" w:left="0"/>
        <w:jc w:val="both"/>
        <w:rPr>
          <w:rFonts w:ascii="Times New Roman" w:hAnsi="Times New Roman"/>
          <w:sz w:val="28"/>
        </w:rPr>
      </w:pPr>
      <w:r>
        <w:rPr>
          <w:rFonts w:ascii="Times New Roman" w:hAnsi="Times New Roman"/>
          <w:sz w:val="28"/>
        </w:rPr>
        <w:t>- яйца и яичные товары (</w:t>
      </w:r>
      <w:r>
        <w:rPr>
          <w:rFonts w:ascii="Times New Roman" w:hAnsi="Times New Roman"/>
          <w:sz w:val="28"/>
        </w:rPr>
        <w:t>1</w:t>
      </w:r>
      <w:r>
        <w:rPr>
          <w:rFonts w:ascii="Times New Roman" w:hAnsi="Times New Roman"/>
          <w:sz w:val="28"/>
        </w:rPr>
        <w:t>2%);</w:t>
      </w:r>
    </w:p>
    <w:p w14:paraId="7E030000">
      <w:pPr>
        <w:spacing w:after="0" w:line="240" w:lineRule="auto"/>
        <w:ind w:firstLine="709" w:left="0"/>
        <w:jc w:val="both"/>
        <w:rPr>
          <w:rFonts w:ascii="Times New Roman" w:hAnsi="Times New Roman"/>
          <w:sz w:val="28"/>
        </w:rPr>
      </w:pPr>
      <w:r>
        <w:rPr>
          <w:rFonts w:ascii="Times New Roman" w:hAnsi="Times New Roman"/>
          <w:sz w:val="28"/>
        </w:rPr>
        <w:t>- мука, хлеб и хлебобулочная продукция (8%);</w:t>
      </w:r>
    </w:p>
    <w:p w14:paraId="7F030000">
      <w:pPr>
        <w:spacing w:after="0" w:line="240" w:lineRule="auto"/>
        <w:ind w:firstLine="709" w:left="0"/>
        <w:jc w:val="both"/>
        <w:rPr>
          <w:rFonts w:ascii="Times New Roman" w:hAnsi="Times New Roman"/>
          <w:sz w:val="28"/>
        </w:rPr>
      </w:pPr>
      <w:r>
        <w:rPr>
          <w:rFonts w:ascii="Times New Roman" w:hAnsi="Times New Roman"/>
          <w:sz w:val="28"/>
        </w:rPr>
        <w:t xml:space="preserve">- масла пищевые растительные </w:t>
      </w:r>
      <w:r>
        <w:rPr>
          <w:rFonts w:ascii="Times New Roman" w:hAnsi="Times New Roman"/>
          <w:sz w:val="28"/>
        </w:rPr>
        <w:t>(</w:t>
      </w:r>
      <w:r>
        <w:rPr>
          <w:rFonts w:ascii="Times New Roman" w:hAnsi="Times New Roman"/>
          <w:sz w:val="28"/>
        </w:rPr>
        <w:t>40</w:t>
      </w:r>
      <w:r>
        <w:rPr>
          <w:rFonts w:ascii="Times New Roman" w:hAnsi="Times New Roman"/>
          <w:sz w:val="28"/>
        </w:rPr>
        <w:t>%);</w:t>
      </w:r>
    </w:p>
    <w:p w14:paraId="80030000">
      <w:pPr>
        <w:spacing w:after="0" w:line="240" w:lineRule="auto"/>
        <w:ind w:firstLine="709" w:left="0"/>
        <w:jc w:val="both"/>
        <w:rPr>
          <w:rFonts w:ascii="Times New Roman" w:hAnsi="Times New Roman"/>
          <w:sz w:val="28"/>
        </w:rPr>
      </w:pPr>
      <w:r>
        <w:rPr>
          <w:rFonts w:ascii="Times New Roman" w:hAnsi="Times New Roman"/>
          <w:sz w:val="28"/>
        </w:rPr>
        <w:t>- крупы и крупяные изделия (7%)</w:t>
      </w:r>
      <w:r>
        <w:rPr>
          <w:rFonts w:ascii="Times New Roman" w:hAnsi="Times New Roman"/>
          <w:sz w:val="28"/>
        </w:rPr>
        <w:t>/</w:t>
      </w:r>
    </w:p>
    <w:p w14:paraId="81030000">
      <w:pPr>
        <w:spacing w:after="0" w:line="240" w:lineRule="auto"/>
        <w:ind w:firstLine="709" w:left="0"/>
        <w:jc w:val="both"/>
        <w:rPr>
          <w:rFonts w:ascii="Times New Roman" w:hAnsi="Times New Roman"/>
          <w:sz w:val="28"/>
        </w:rPr>
      </w:pPr>
    </w:p>
    <w:p w14:paraId="82030000">
      <w:pPr>
        <w:spacing w:after="0"/>
        <w:ind w:firstLine="709" w:left="0"/>
        <w:jc w:val="both"/>
        <w:rPr>
          <w:rFonts w:ascii="Times New Roman" w:hAnsi="Times New Roman"/>
          <w:sz w:val="28"/>
        </w:rPr>
      </w:pPr>
      <w:r>
        <w:rPr>
          <w:rFonts w:ascii="Times New Roman" w:hAnsi="Times New Roman"/>
          <w:sz w:val="28"/>
        </w:rPr>
        <w:t xml:space="preserve">По непродовольственным товарам по мнению опрошенных наиболее высокая цена на бензин автомобильный </w:t>
      </w:r>
      <w:r>
        <w:rPr>
          <w:rFonts w:ascii="Times New Roman" w:hAnsi="Times New Roman"/>
          <w:sz w:val="28"/>
        </w:rPr>
        <w:t>4</w:t>
      </w:r>
      <w:r>
        <w:rPr>
          <w:rFonts w:ascii="Times New Roman" w:hAnsi="Times New Roman"/>
          <w:sz w:val="28"/>
        </w:rPr>
        <w:t>3% опрошенных.</w:t>
      </w:r>
    </w:p>
    <w:p w14:paraId="83030000">
      <w:pPr>
        <w:spacing w:after="0"/>
        <w:ind w:firstLine="709" w:left="0"/>
        <w:jc w:val="both"/>
        <w:rPr>
          <w:rFonts w:ascii="Times New Roman" w:hAnsi="Times New Roman"/>
          <w:sz w:val="28"/>
        </w:rPr>
      </w:pPr>
      <w:r>
        <w:rPr>
          <w:rFonts w:ascii="Times New Roman" w:hAnsi="Times New Roman"/>
          <w:sz w:val="28"/>
        </w:rPr>
        <w:t xml:space="preserve">На услуги наивысший показатель у цен на жилищно-коммунальные услуги </w:t>
      </w:r>
      <w:r>
        <w:rPr>
          <w:rFonts w:ascii="Times New Roman" w:hAnsi="Times New Roman"/>
          <w:sz w:val="28"/>
        </w:rPr>
        <w:t>7</w:t>
      </w:r>
      <w:r>
        <w:rPr>
          <w:rFonts w:ascii="Times New Roman" w:hAnsi="Times New Roman"/>
          <w:sz w:val="28"/>
        </w:rPr>
        <w:t xml:space="preserve">5%. </w:t>
      </w:r>
    </w:p>
    <w:p w14:paraId="84030000">
      <w:pPr>
        <w:spacing w:after="0"/>
        <w:ind w:firstLine="709" w:left="0"/>
        <w:jc w:val="both"/>
        <w:rPr>
          <w:rFonts w:ascii="Times New Roman" w:hAnsi="Times New Roman"/>
          <w:sz w:val="28"/>
        </w:rPr>
      </w:pPr>
      <w:r>
        <w:rPr>
          <w:rFonts w:ascii="Times New Roman" w:hAnsi="Times New Roman"/>
          <w:sz w:val="28"/>
        </w:rPr>
        <w:t>О</w:t>
      </w:r>
      <w:r>
        <w:rPr>
          <w:rFonts w:ascii="Times New Roman" w:hAnsi="Times New Roman"/>
          <w:sz w:val="28"/>
        </w:rPr>
        <w:t xml:space="preserve">коло </w:t>
      </w:r>
      <w:r>
        <w:rPr>
          <w:rFonts w:ascii="Times New Roman" w:hAnsi="Times New Roman"/>
          <w:sz w:val="28"/>
        </w:rPr>
        <w:t>8</w:t>
      </w:r>
      <w:r>
        <w:rPr>
          <w:rFonts w:ascii="Times New Roman" w:hAnsi="Times New Roman"/>
          <w:sz w:val="28"/>
        </w:rPr>
        <w:t>% опрошенных ответили положительно</w:t>
      </w:r>
      <w:r>
        <w:rPr>
          <w:rFonts w:ascii="Times New Roman" w:hAnsi="Times New Roman"/>
          <w:sz w:val="28"/>
        </w:rPr>
        <w:t xml:space="preserve"> на вопрос об обращении за защитой своих прав.</w:t>
      </w:r>
    </w:p>
    <w:p w14:paraId="85030000">
      <w:pPr>
        <w:spacing w:after="0"/>
        <w:ind w:firstLine="709" w:left="0"/>
        <w:jc w:val="both"/>
        <w:rPr>
          <w:rFonts w:ascii="Times New Roman" w:hAnsi="Times New Roman"/>
          <w:sz w:val="28"/>
        </w:rPr>
      </w:pPr>
      <w:r>
        <w:rPr>
          <w:rFonts w:ascii="Times New Roman" w:hAnsi="Times New Roman"/>
          <w:sz w:val="28"/>
        </w:rPr>
        <w:t xml:space="preserve">Потребители города </w:t>
      </w:r>
      <w:r>
        <w:rPr>
          <w:rFonts w:ascii="Times New Roman" w:hAnsi="Times New Roman"/>
          <w:sz w:val="28"/>
        </w:rPr>
        <w:t>Волгодонска</w:t>
      </w:r>
      <w:r>
        <w:rPr>
          <w:rFonts w:ascii="Times New Roman" w:hAnsi="Times New Roman"/>
          <w:sz w:val="28"/>
        </w:rPr>
        <w:t xml:space="preserve"> обращались </w:t>
      </w:r>
      <w:r>
        <w:rPr>
          <w:rFonts w:ascii="Times New Roman" w:hAnsi="Times New Roman"/>
          <w:sz w:val="28"/>
        </w:rPr>
        <w:t xml:space="preserve">в Администрацию города Волгодонска  и общественные организации по защите прав потребителей (2% от опрошенных), в органы судебной власти – </w:t>
      </w:r>
      <w:r>
        <w:rPr>
          <w:rFonts w:ascii="Times New Roman" w:hAnsi="Times New Roman"/>
          <w:sz w:val="28"/>
        </w:rPr>
        <w:t>1</w:t>
      </w:r>
      <w:r>
        <w:rPr>
          <w:rFonts w:ascii="Times New Roman" w:hAnsi="Times New Roman"/>
          <w:sz w:val="28"/>
        </w:rPr>
        <w:t>%, Роспотребнадзор – 1%.</w:t>
      </w:r>
    </w:p>
    <w:p w14:paraId="86030000">
      <w:pPr>
        <w:spacing w:after="0"/>
        <w:ind w:firstLine="709" w:left="0"/>
        <w:jc w:val="both"/>
        <w:rPr>
          <w:rFonts w:ascii="Times New Roman" w:hAnsi="Times New Roman"/>
          <w:sz w:val="28"/>
        </w:rPr>
      </w:pPr>
    </w:p>
    <w:p w14:paraId="87030000">
      <w:pPr>
        <w:spacing w:after="0"/>
        <w:ind w:firstLine="709" w:left="0"/>
        <w:jc w:val="center"/>
        <w:rPr>
          <w:rFonts w:ascii="Times New Roman" w:hAnsi="Times New Roman"/>
          <w:b w:val="1"/>
          <w:sz w:val="28"/>
        </w:rPr>
      </w:pPr>
      <w:r>
        <w:rPr>
          <w:rFonts w:ascii="Times New Roman" w:hAnsi="Times New Roman"/>
          <w:b w:val="1"/>
          <w:sz w:val="28"/>
        </w:rPr>
        <w:t xml:space="preserve">Мнение потребителей относительно того, на что в первую очередь должна быть направлена работа по развитию конкуренции </w:t>
      </w:r>
    </w:p>
    <w:p w14:paraId="88030000">
      <w:pPr>
        <w:spacing w:after="0"/>
        <w:ind w:firstLine="709" w:left="0"/>
        <w:jc w:val="center"/>
        <w:rPr>
          <w:rFonts w:ascii="Times New Roman" w:hAnsi="Times New Roman"/>
          <w:b w:val="1"/>
          <w:sz w:val="28"/>
        </w:rPr>
      </w:pPr>
      <w:r>
        <w:rPr>
          <w:rFonts w:ascii="Times New Roman" w:hAnsi="Times New Roman"/>
          <w:b w:val="1"/>
          <w:sz w:val="28"/>
        </w:rPr>
        <w:t xml:space="preserve">в городе </w:t>
      </w:r>
      <w:r>
        <w:rPr>
          <w:rFonts w:ascii="Times New Roman" w:hAnsi="Times New Roman"/>
          <w:b w:val="1"/>
          <w:sz w:val="28"/>
        </w:rPr>
        <w:t>Волгодонска</w:t>
      </w:r>
    </w:p>
    <w:p w14:paraId="89030000">
      <w:pPr>
        <w:spacing w:after="0"/>
        <w:ind w:firstLine="709" w:left="0"/>
        <w:jc w:val="both"/>
        <w:rPr>
          <w:rFonts w:ascii="Times New Roman" w:hAnsi="Times New Roman"/>
          <w:sz w:val="28"/>
        </w:rPr>
      </w:pPr>
      <w:r>
        <w:rPr>
          <w:rFonts w:ascii="Times New Roman" w:hAnsi="Times New Roman"/>
          <w:sz w:val="28"/>
        </w:rPr>
        <w:t>В качестве основных направлений развития конкурентной среды в городе большинством участников опроса было предложено</w:t>
      </w:r>
      <w:r>
        <w:rPr>
          <w:rFonts w:ascii="Times New Roman" w:hAnsi="Times New Roman"/>
          <w:sz w:val="28"/>
        </w:rPr>
        <w:t xml:space="preserve"> в первую очередь на </w:t>
      </w:r>
      <w:r>
        <w:rPr>
          <w:rFonts w:ascii="Times New Roman" w:hAnsi="Times New Roman"/>
          <w:sz w:val="28"/>
        </w:rPr>
        <w:t>установ</w:t>
      </w:r>
      <w:r>
        <w:rPr>
          <w:rFonts w:ascii="Times New Roman" w:hAnsi="Times New Roman"/>
          <w:sz w:val="28"/>
        </w:rPr>
        <w:t xml:space="preserve">ление </w:t>
      </w:r>
      <w:r>
        <w:rPr>
          <w:rFonts w:ascii="Times New Roman" w:hAnsi="Times New Roman"/>
          <w:sz w:val="28"/>
        </w:rPr>
        <w:t>контрол</w:t>
      </w:r>
      <w:r>
        <w:rPr>
          <w:rFonts w:ascii="Times New Roman" w:hAnsi="Times New Roman"/>
          <w:sz w:val="28"/>
        </w:rPr>
        <w:t>я</w:t>
      </w:r>
      <w:r>
        <w:rPr>
          <w:rFonts w:ascii="Times New Roman" w:hAnsi="Times New Roman"/>
          <w:sz w:val="28"/>
        </w:rPr>
        <w:t xml:space="preserve"> над ростом цен (</w:t>
      </w:r>
      <w:r>
        <w:rPr>
          <w:rFonts w:ascii="Times New Roman" w:hAnsi="Times New Roman"/>
          <w:sz w:val="28"/>
        </w:rPr>
        <w:t>39</w:t>
      </w:r>
      <w:r>
        <w:rPr>
          <w:rFonts w:ascii="Times New Roman" w:hAnsi="Times New Roman"/>
          <w:sz w:val="28"/>
        </w:rPr>
        <w:t>%), обеспеч</w:t>
      </w:r>
      <w:r>
        <w:rPr>
          <w:rFonts w:ascii="Times New Roman" w:hAnsi="Times New Roman"/>
          <w:sz w:val="28"/>
        </w:rPr>
        <w:t>ения</w:t>
      </w:r>
      <w:r>
        <w:rPr>
          <w:rFonts w:ascii="Times New Roman" w:hAnsi="Times New Roman"/>
          <w:sz w:val="28"/>
        </w:rPr>
        <w:t xml:space="preserve"> качеств</w:t>
      </w:r>
      <w:r>
        <w:rPr>
          <w:rFonts w:ascii="Times New Roman" w:hAnsi="Times New Roman"/>
          <w:sz w:val="28"/>
        </w:rPr>
        <w:t>а</w:t>
      </w:r>
      <w:r>
        <w:rPr>
          <w:rFonts w:ascii="Times New Roman" w:hAnsi="Times New Roman"/>
          <w:sz w:val="28"/>
        </w:rPr>
        <w:t xml:space="preserve"> производимой и продаваемой продукции (</w:t>
      </w:r>
      <w:r>
        <w:rPr>
          <w:rFonts w:ascii="Times New Roman" w:hAnsi="Times New Roman"/>
          <w:sz w:val="28"/>
        </w:rPr>
        <w:t>20</w:t>
      </w:r>
      <w:r>
        <w:rPr>
          <w:rFonts w:ascii="Times New Roman" w:hAnsi="Times New Roman"/>
          <w:sz w:val="28"/>
        </w:rPr>
        <w:t>%)</w:t>
      </w:r>
      <w:r>
        <w:rPr>
          <w:rFonts w:ascii="Times New Roman" w:hAnsi="Times New Roman"/>
          <w:sz w:val="28"/>
        </w:rPr>
        <w:t>,</w:t>
      </w:r>
      <w:r>
        <w:rPr>
          <w:rFonts w:ascii="Times New Roman" w:hAnsi="Times New Roman"/>
          <w:sz w:val="28"/>
        </w:rPr>
        <w:t xml:space="preserve"> контроль работы </w:t>
      </w:r>
      <w:r>
        <w:rPr>
          <w:rFonts w:ascii="Times New Roman" w:hAnsi="Times New Roman"/>
          <w:sz w:val="28"/>
        </w:rPr>
        <w:t>естественных монополий и поддержка новых направлений развития экономики города (</w:t>
      </w:r>
      <w:r>
        <w:rPr>
          <w:rFonts w:ascii="Times New Roman" w:hAnsi="Times New Roman"/>
          <w:sz w:val="28"/>
        </w:rPr>
        <w:t>1</w:t>
      </w:r>
      <w:r>
        <w:rPr>
          <w:rFonts w:ascii="Times New Roman" w:hAnsi="Times New Roman"/>
          <w:sz w:val="28"/>
        </w:rPr>
        <w:t>6%).</w:t>
      </w:r>
    </w:p>
    <w:p w14:paraId="8A030000">
      <w:pPr>
        <w:spacing w:after="0"/>
        <w:ind w:firstLine="709" w:left="0"/>
        <w:jc w:val="both"/>
        <w:rPr>
          <w:rFonts w:ascii="Times New Roman" w:hAnsi="Times New Roman"/>
          <w:sz w:val="28"/>
        </w:rPr>
      </w:pPr>
      <w:r>
        <w:rPr>
          <w:rFonts w:ascii="Times New Roman" w:hAnsi="Times New Roman"/>
          <w:sz w:val="28"/>
        </w:rPr>
        <w:t xml:space="preserve">Также, на развитие конкуренции </w:t>
      </w:r>
      <w:r>
        <w:rPr>
          <w:rFonts w:ascii="Times New Roman" w:hAnsi="Times New Roman"/>
          <w:sz w:val="28"/>
        </w:rPr>
        <w:t xml:space="preserve">в разной степени могут </w:t>
      </w:r>
      <w:r>
        <w:rPr>
          <w:rFonts w:ascii="Times New Roman" w:hAnsi="Times New Roman"/>
          <w:sz w:val="28"/>
        </w:rPr>
        <w:t>влиять</w:t>
      </w:r>
      <w:r>
        <w:rPr>
          <w:rFonts w:ascii="Times New Roman" w:hAnsi="Times New Roman"/>
          <w:sz w:val="28"/>
        </w:rPr>
        <w:t xml:space="preserve"> следующие мероприятия</w:t>
      </w:r>
      <w:r>
        <w:rPr>
          <w:rFonts w:ascii="Times New Roman" w:hAnsi="Times New Roman"/>
          <w:sz w:val="28"/>
        </w:rPr>
        <w:t>:</w:t>
      </w:r>
    </w:p>
    <w:p w14:paraId="8B030000">
      <w:pPr>
        <w:spacing w:after="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5</w:t>
      </w:r>
      <w:r>
        <w:rPr>
          <w:rFonts w:ascii="Times New Roman" w:hAnsi="Times New Roman"/>
          <w:sz w:val="28"/>
        </w:rPr>
        <w:t xml:space="preserve"> </w:t>
      </w:r>
      <w:r>
        <w:rPr>
          <w:rFonts w:ascii="Times New Roman" w:hAnsi="Times New Roman"/>
          <w:sz w:val="28"/>
        </w:rPr>
        <w:t xml:space="preserve">% опрощенных считают, что создание </w:t>
      </w:r>
      <w:r>
        <w:rPr>
          <w:rFonts w:ascii="Times New Roman" w:hAnsi="Times New Roman"/>
          <w:sz w:val="28"/>
        </w:rPr>
        <w:t>условий для увеличения хозяйствующих субъектов на рынках города, а также создание системы информирования населения о работе различных компаний, защите прав потребителей и состоянии конкуренции;</w:t>
      </w:r>
    </w:p>
    <w:p w14:paraId="8C030000">
      <w:pPr>
        <w:spacing w:after="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5</w:t>
      </w:r>
      <w:r>
        <w:rPr>
          <w:rFonts w:ascii="Times New Roman" w:hAnsi="Times New Roman"/>
          <w:sz w:val="28"/>
        </w:rPr>
        <w:t>%, что это обеспечение условий, чтобы одна компания не полностью диктовала условия на рынке;</w:t>
      </w:r>
    </w:p>
    <w:p w14:paraId="8D030000">
      <w:pPr>
        <w:spacing w:after="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5</w:t>
      </w:r>
      <w:r>
        <w:rPr>
          <w:rFonts w:ascii="Times New Roman" w:hAnsi="Times New Roman"/>
          <w:sz w:val="28"/>
        </w:rPr>
        <w:t xml:space="preserve">%, это </w:t>
      </w:r>
      <w:r>
        <w:rPr>
          <w:rFonts w:ascii="Times New Roman" w:hAnsi="Times New Roman"/>
          <w:sz w:val="28"/>
        </w:rPr>
        <w:t>обеспечение добросовестной конкуренции</w:t>
      </w:r>
      <w:r>
        <w:rPr>
          <w:rFonts w:ascii="Times New Roman" w:hAnsi="Times New Roman"/>
          <w:sz w:val="28"/>
        </w:rPr>
        <w:t>;</w:t>
      </w:r>
    </w:p>
    <w:p w14:paraId="8E030000">
      <w:pPr>
        <w:spacing w:after="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4</w:t>
      </w:r>
      <w:r>
        <w:rPr>
          <w:rFonts w:ascii="Times New Roman" w:hAnsi="Times New Roman"/>
          <w:sz w:val="28"/>
        </w:rPr>
        <w:t xml:space="preserve">%, </w:t>
      </w:r>
      <w:r>
        <w:rPr>
          <w:rFonts w:ascii="Times New Roman" w:hAnsi="Times New Roman"/>
          <w:sz w:val="28"/>
        </w:rPr>
        <w:t>помощь начинающим предпринимателям города</w:t>
      </w:r>
      <w:r>
        <w:rPr>
          <w:rFonts w:ascii="Times New Roman" w:hAnsi="Times New Roman"/>
          <w:sz w:val="28"/>
        </w:rPr>
        <w:t>;</w:t>
      </w:r>
    </w:p>
    <w:p w14:paraId="8F030000">
      <w:pPr>
        <w:spacing w:after="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4</w:t>
      </w:r>
      <w:r>
        <w:rPr>
          <w:rFonts w:ascii="Times New Roman" w:hAnsi="Times New Roman"/>
          <w:sz w:val="28"/>
        </w:rPr>
        <w:t xml:space="preserve">%, </w:t>
      </w:r>
      <w:r>
        <w:rPr>
          <w:rFonts w:ascii="Times New Roman" w:hAnsi="Times New Roman"/>
          <w:sz w:val="28"/>
        </w:rPr>
        <w:t>юридическая защита предпринимателей;</w:t>
      </w:r>
    </w:p>
    <w:p w14:paraId="90030000">
      <w:pPr>
        <w:spacing w:after="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1</w:t>
      </w:r>
      <w:r>
        <w:rPr>
          <w:rFonts w:ascii="Times New Roman" w:hAnsi="Times New Roman"/>
          <w:sz w:val="28"/>
        </w:rPr>
        <w:t>%, повышение открытости процедур региональных и му</w:t>
      </w:r>
      <w:r>
        <w:rPr>
          <w:rFonts w:ascii="Times New Roman" w:hAnsi="Times New Roman"/>
          <w:sz w:val="28"/>
        </w:rPr>
        <w:t>ниципальных конкурсов и закупок;</w:t>
      </w:r>
    </w:p>
    <w:p w14:paraId="91030000">
      <w:pPr>
        <w:spacing w:after="0"/>
        <w:ind w:firstLine="709" w:left="0"/>
        <w:jc w:val="both"/>
        <w:rPr>
          <w:rFonts w:ascii="Times New Roman" w:hAnsi="Times New Roman"/>
          <w:sz w:val="28"/>
        </w:rPr>
      </w:pPr>
      <w:r>
        <w:rPr>
          <w:rFonts w:ascii="Times New Roman" w:hAnsi="Times New Roman"/>
          <w:sz w:val="28"/>
        </w:rPr>
        <w:t>- 1% посчитали, что с</w:t>
      </w:r>
      <w:r>
        <w:rPr>
          <w:rFonts w:ascii="Times New Roman" w:hAnsi="Times New Roman"/>
          <w:sz w:val="28"/>
        </w:rPr>
        <w:t>оздание условий для развития социального предпринимательства</w:t>
      </w:r>
      <w:r>
        <w:rPr>
          <w:rFonts w:ascii="Times New Roman" w:hAnsi="Times New Roman"/>
          <w:sz w:val="28"/>
        </w:rPr>
        <w:t>;</w:t>
      </w:r>
    </w:p>
    <w:p w14:paraId="92030000">
      <w:pPr>
        <w:spacing w:after="0"/>
        <w:ind/>
        <w:rPr>
          <w:rFonts w:ascii="Times New Roman" w:hAnsi="Times New Roman"/>
          <w:sz w:val="28"/>
        </w:rPr>
      </w:pPr>
    </w:p>
    <w:p w14:paraId="93030000">
      <w:pPr>
        <w:spacing w:after="0"/>
        <w:ind/>
        <w:jc w:val="center"/>
        <w:rPr>
          <w:rFonts w:ascii="Times New Roman" w:hAnsi="Times New Roman"/>
          <w:b w:val="1"/>
          <w:sz w:val="28"/>
        </w:rPr>
      </w:pPr>
      <w:r>
        <w:rPr>
          <w:rFonts w:ascii="Times New Roman" w:hAnsi="Times New Roman"/>
          <w:b w:val="1"/>
          <w:sz w:val="28"/>
        </w:rPr>
        <w:t>Выводы</w:t>
      </w:r>
    </w:p>
    <w:p w14:paraId="94030000">
      <w:pPr>
        <w:spacing w:after="0"/>
        <w:ind w:firstLine="709" w:left="0"/>
        <w:jc w:val="both"/>
        <w:rPr>
          <w:rFonts w:ascii="Times New Roman" w:hAnsi="Times New Roman"/>
          <w:sz w:val="28"/>
        </w:rPr>
      </w:pPr>
      <w:r>
        <w:rPr>
          <w:rFonts w:ascii="Times New Roman" w:hAnsi="Times New Roman"/>
          <w:sz w:val="28"/>
        </w:rPr>
        <w:t xml:space="preserve">В ходе опроса было изучено мнение потребителей продукции (товаров, работ и услуг) города </w:t>
      </w:r>
      <w:r>
        <w:rPr>
          <w:rFonts w:ascii="Times New Roman" w:hAnsi="Times New Roman"/>
          <w:sz w:val="28"/>
        </w:rPr>
        <w:t>Волгодонска</w:t>
      </w:r>
      <w:r>
        <w:rPr>
          <w:rFonts w:ascii="Times New Roman" w:hAnsi="Times New Roman"/>
          <w:sz w:val="28"/>
        </w:rPr>
        <w:t>. Преобладающее большинство участником опроса это работающ</w:t>
      </w:r>
      <w:r>
        <w:rPr>
          <w:rFonts w:ascii="Times New Roman" w:hAnsi="Times New Roman"/>
          <w:sz w:val="28"/>
        </w:rPr>
        <w:t>ие</w:t>
      </w:r>
      <w:r>
        <w:rPr>
          <w:rFonts w:ascii="Times New Roman" w:hAnsi="Times New Roman"/>
          <w:sz w:val="28"/>
        </w:rPr>
        <w:t xml:space="preserve"> женщин</w:t>
      </w:r>
      <w:r>
        <w:rPr>
          <w:rFonts w:ascii="Times New Roman" w:hAnsi="Times New Roman"/>
          <w:sz w:val="28"/>
        </w:rPr>
        <w:t>ы в возрасте  от 36 до 50 лет, имеющие высшее образование и</w:t>
      </w:r>
      <w:r>
        <w:rPr>
          <w:rFonts w:ascii="Times New Roman" w:hAnsi="Times New Roman"/>
          <w:sz w:val="28"/>
        </w:rPr>
        <w:t xml:space="preserve"> дет</w:t>
      </w:r>
      <w:r>
        <w:rPr>
          <w:rFonts w:ascii="Times New Roman" w:hAnsi="Times New Roman"/>
          <w:sz w:val="28"/>
        </w:rPr>
        <w:t>ей</w:t>
      </w:r>
      <w:r>
        <w:rPr>
          <w:rFonts w:ascii="Times New Roman" w:hAnsi="Times New Roman"/>
          <w:sz w:val="28"/>
        </w:rPr>
        <w:t xml:space="preserve"> возрастом до 18 лет.</w:t>
      </w:r>
      <w:r>
        <w:rPr>
          <w:rFonts w:ascii="Times New Roman" w:hAnsi="Times New Roman"/>
          <w:sz w:val="28"/>
        </w:rPr>
        <w:t xml:space="preserve"> </w:t>
      </w:r>
      <w:r>
        <w:rPr>
          <w:rFonts w:ascii="Times New Roman" w:hAnsi="Times New Roman"/>
          <w:sz w:val="28"/>
        </w:rPr>
        <w:t xml:space="preserve"> </w:t>
      </w:r>
    </w:p>
    <w:p w14:paraId="95030000">
      <w:pPr>
        <w:spacing w:after="0"/>
        <w:ind w:firstLine="709" w:left="0"/>
        <w:jc w:val="both"/>
        <w:rPr>
          <w:rFonts w:ascii="Times New Roman" w:hAnsi="Times New Roman"/>
          <w:sz w:val="28"/>
        </w:rPr>
      </w:pPr>
      <w:r>
        <w:rPr>
          <w:rFonts w:ascii="Times New Roman" w:hAnsi="Times New Roman"/>
          <w:sz w:val="28"/>
        </w:rPr>
        <w:t>Мнения опрошенных представителей потребителей товаров, работ и услуг отражают нижеуказанные тенденции состояния и динамики конкуренции и конкурентной среды.</w:t>
      </w:r>
    </w:p>
    <w:p w14:paraId="96030000">
      <w:pPr>
        <w:spacing w:after="0"/>
        <w:ind w:firstLine="709" w:left="0"/>
        <w:jc w:val="both"/>
        <w:rPr>
          <w:rFonts w:ascii="Times New Roman" w:hAnsi="Times New Roman"/>
          <w:sz w:val="28"/>
        </w:rPr>
      </w:pPr>
      <w:r>
        <w:rPr>
          <w:rFonts w:ascii="Times New Roman" w:hAnsi="Times New Roman"/>
          <w:sz w:val="28"/>
        </w:rPr>
        <w:t xml:space="preserve">В целом респонденты полагают, что </w:t>
      </w:r>
      <w:r>
        <w:rPr>
          <w:rFonts w:ascii="Times New Roman" w:hAnsi="Times New Roman"/>
          <w:sz w:val="28"/>
        </w:rPr>
        <w:t>все</w:t>
      </w:r>
      <w:r>
        <w:rPr>
          <w:rFonts w:ascii="Times New Roman" w:hAnsi="Times New Roman"/>
          <w:sz w:val="28"/>
        </w:rPr>
        <w:t xml:space="preserve"> </w:t>
      </w:r>
      <w:r>
        <w:rPr>
          <w:rFonts w:ascii="Times New Roman" w:hAnsi="Times New Roman"/>
          <w:sz w:val="28"/>
        </w:rPr>
        <w:t>10</w:t>
      </w:r>
      <w:r>
        <w:rPr>
          <w:rFonts w:ascii="Times New Roman" w:hAnsi="Times New Roman"/>
          <w:sz w:val="28"/>
        </w:rPr>
        <w:t xml:space="preserve"> анализируемых рынков признаются подавляющим большинством опрошенных (не менее половины) как достаточно развитые в части количества организаций, представляющих продукцию (товары, работы, услуги) на </w:t>
      </w:r>
      <w:r>
        <w:rPr>
          <w:rFonts w:ascii="Times New Roman" w:hAnsi="Times New Roman"/>
          <w:sz w:val="28"/>
        </w:rPr>
        <w:t xml:space="preserve">рынках. </w:t>
      </w:r>
    </w:p>
    <w:p w14:paraId="97030000">
      <w:pPr>
        <w:spacing w:after="0"/>
        <w:ind w:firstLine="709" w:left="0"/>
        <w:jc w:val="both"/>
        <w:rPr>
          <w:rFonts w:ascii="Times New Roman" w:hAnsi="Times New Roman"/>
          <w:sz w:val="28"/>
        </w:rPr>
      </w:pPr>
      <w:r>
        <w:rPr>
          <w:rFonts w:ascii="Times New Roman" w:hAnsi="Times New Roman"/>
          <w:sz w:val="28"/>
        </w:rPr>
        <w:t xml:space="preserve">Согласно данным опроса потребителей, </w:t>
      </w:r>
      <w:r>
        <w:rPr>
          <w:rFonts w:ascii="Times New Roman" w:hAnsi="Times New Roman"/>
          <w:sz w:val="28"/>
        </w:rPr>
        <w:t>наблюдался</w:t>
      </w:r>
      <w:r>
        <w:rPr>
          <w:rFonts w:ascii="Times New Roman" w:hAnsi="Times New Roman"/>
          <w:sz w:val="28"/>
        </w:rPr>
        <w:t xml:space="preserve"> рост числа субъектов, предоставляющих товары и услуги</w:t>
      </w:r>
      <w:r>
        <w:rPr>
          <w:rFonts w:ascii="Times New Roman" w:hAnsi="Times New Roman"/>
          <w:sz w:val="28"/>
        </w:rPr>
        <w:t xml:space="preserve"> </w:t>
      </w:r>
      <w:r>
        <w:rPr>
          <w:rFonts w:ascii="Times New Roman" w:hAnsi="Times New Roman"/>
          <w:sz w:val="28"/>
        </w:rPr>
        <w:t xml:space="preserve"> за последние 3 года зафиксирован на </w:t>
      </w:r>
      <w:r>
        <w:rPr>
          <w:rFonts w:ascii="Times New Roman" w:hAnsi="Times New Roman"/>
          <w:sz w:val="28"/>
        </w:rPr>
        <w:t>рынках</w:t>
      </w:r>
      <w:r>
        <w:rPr>
          <w:rFonts w:ascii="Times New Roman" w:hAnsi="Times New Roman"/>
          <w:sz w:val="28"/>
        </w:rPr>
        <w:t xml:space="preserve"> </w:t>
      </w:r>
      <w:r>
        <w:rPr>
          <w:rFonts w:ascii="Times New Roman" w:hAnsi="Times New Roman"/>
          <w:sz w:val="28"/>
        </w:rPr>
        <w:t>услуг дополнительного образования детей</w:t>
      </w:r>
      <w:r>
        <w:rPr>
          <w:rFonts w:ascii="Times New Roman" w:hAnsi="Times New Roman"/>
          <w:sz w:val="28"/>
        </w:rPr>
        <w:t xml:space="preserve"> и</w:t>
      </w:r>
      <w:r>
        <w:rPr>
          <w:rFonts w:ascii="Times New Roman" w:hAnsi="Times New Roman"/>
          <w:b w:val="1"/>
          <w:sz w:val="28"/>
          <w:u w:val="single"/>
        </w:rPr>
        <w:t xml:space="preserve"> </w:t>
      </w:r>
      <w:r>
        <w:rPr>
          <w:rFonts w:ascii="Times New Roman" w:hAnsi="Times New Roman"/>
          <w:sz w:val="28"/>
        </w:rPr>
        <w:t xml:space="preserve">розничной торговли. Более всего ощущалось снижение конкуренции на рынке </w:t>
      </w:r>
      <w:r>
        <w:rPr>
          <w:rFonts w:ascii="Times New Roman" w:hAnsi="Times New Roman"/>
          <w:sz w:val="28"/>
        </w:rPr>
        <w:t>услуг медицинских услуг и рынке строительства</w:t>
      </w:r>
      <w:r>
        <w:rPr>
          <w:rFonts w:ascii="Times New Roman" w:hAnsi="Times New Roman"/>
          <w:sz w:val="28"/>
        </w:rPr>
        <w:t xml:space="preserve">. </w:t>
      </w:r>
      <w:r>
        <w:rPr>
          <w:rFonts w:ascii="Times New Roman" w:hAnsi="Times New Roman"/>
          <w:sz w:val="28"/>
        </w:rPr>
        <w:t>П</w:t>
      </w:r>
      <w:r>
        <w:rPr>
          <w:rFonts w:ascii="Times New Roman" w:hAnsi="Times New Roman"/>
          <w:sz w:val="28"/>
        </w:rPr>
        <w:t>ри этом подавляющ</w:t>
      </w:r>
      <w:r>
        <w:rPr>
          <w:rFonts w:ascii="Times New Roman" w:hAnsi="Times New Roman"/>
          <w:sz w:val="28"/>
        </w:rPr>
        <w:t>им</w:t>
      </w:r>
      <w:r>
        <w:rPr>
          <w:rFonts w:ascii="Times New Roman" w:hAnsi="Times New Roman"/>
          <w:sz w:val="28"/>
        </w:rPr>
        <w:t xml:space="preserve"> большинством респондентов отмечено</w:t>
      </w:r>
      <w:r>
        <w:rPr>
          <w:rFonts w:ascii="Times New Roman" w:hAnsi="Times New Roman"/>
          <w:sz w:val="28"/>
        </w:rPr>
        <w:t xml:space="preserve">, что </w:t>
      </w:r>
      <w:r>
        <w:rPr>
          <w:rFonts w:ascii="Times New Roman" w:hAnsi="Times New Roman"/>
          <w:sz w:val="28"/>
        </w:rPr>
        <w:t>рынки города не изменились.</w:t>
      </w:r>
    </w:p>
    <w:p w14:paraId="98030000">
      <w:pPr>
        <w:spacing w:after="0"/>
        <w:ind w:firstLine="709" w:left="0"/>
        <w:jc w:val="both"/>
        <w:rPr>
          <w:rFonts w:ascii="Times New Roman" w:hAnsi="Times New Roman"/>
          <w:sz w:val="28"/>
        </w:rPr>
      </w:pPr>
      <w:r>
        <w:rPr>
          <w:rFonts w:ascii="Times New Roman" w:hAnsi="Times New Roman"/>
          <w:sz w:val="28"/>
        </w:rPr>
        <w:t xml:space="preserve">В большей степени </w:t>
      </w:r>
      <w:r>
        <w:rPr>
          <w:rFonts w:ascii="Times New Roman" w:hAnsi="Times New Roman"/>
          <w:sz w:val="28"/>
        </w:rPr>
        <w:t>потребит</w:t>
      </w:r>
      <w:r>
        <w:rPr>
          <w:rFonts w:ascii="Times New Roman" w:hAnsi="Times New Roman"/>
          <w:sz w:val="28"/>
        </w:rPr>
        <w:t>ельскими</w:t>
      </w:r>
      <w:r>
        <w:rPr>
          <w:rFonts w:ascii="Times New Roman" w:hAnsi="Times New Roman"/>
          <w:sz w:val="28"/>
        </w:rPr>
        <w:t xml:space="preserve"> характеристиками продукции (товаров, работ, услуг) на рынках по </w:t>
      </w:r>
      <w:r>
        <w:rPr>
          <w:rFonts w:ascii="Times New Roman" w:hAnsi="Times New Roman"/>
          <w:sz w:val="28"/>
        </w:rPr>
        <w:t>критериям «качество», «уровень цен» и «возможность выбора»</w:t>
      </w:r>
      <w:r>
        <w:rPr>
          <w:rFonts w:ascii="Times New Roman" w:hAnsi="Times New Roman"/>
          <w:sz w:val="28"/>
        </w:rPr>
        <w:t xml:space="preserve"> население удовлетворено </w:t>
      </w:r>
      <w:r>
        <w:rPr>
          <w:rFonts w:ascii="Times New Roman" w:hAnsi="Times New Roman"/>
          <w:sz w:val="28"/>
        </w:rPr>
        <w:t>рынк</w:t>
      </w:r>
      <w:r>
        <w:rPr>
          <w:rFonts w:ascii="Times New Roman" w:hAnsi="Times New Roman"/>
          <w:sz w:val="28"/>
        </w:rPr>
        <w:t>ами</w:t>
      </w:r>
      <w:r>
        <w:rPr>
          <w:rFonts w:ascii="Times New Roman" w:hAnsi="Times New Roman"/>
          <w:sz w:val="28"/>
        </w:rPr>
        <w:t xml:space="preserve"> </w:t>
      </w:r>
      <w:r>
        <w:rPr>
          <w:rFonts w:ascii="Times New Roman" w:hAnsi="Times New Roman"/>
          <w:sz w:val="28"/>
        </w:rPr>
        <w:t>услуг дошкольного образования</w:t>
      </w:r>
      <w:r>
        <w:rPr>
          <w:rFonts w:ascii="Times New Roman" w:hAnsi="Times New Roman"/>
          <w:sz w:val="28"/>
        </w:rPr>
        <w:t>, дополнительного образования детей, р</w:t>
      </w:r>
      <w:r>
        <w:rPr>
          <w:rFonts w:ascii="Times New Roman" w:hAnsi="Times New Roman"/>
          <w:sz w:val="28"/>
        </w:rPr>
        <w:t>ынок услуг в сфере культуры</w:t>
      </w:r>
      <w:r>
        <w:rPr>
          <w:rFonts w:ascii="Times New Roman" w:hAnsi="Times New Roman"/>
          <w:sz w:val="28"/>
        </w:rPr>
        <w:t>.</w:t>
      </w:r>
    </w:p>
    <w:p w14:paraId="99030000">
      <w:pPr>
        <w:spacing w:after="0"/>
        <w:ind w:firstLine="709" w:left="0"/>
        <w:jc w:val="both"/>
        <w:rPr>
          <w:rFonts w:ascii="Times New Roman" w:hAnsi="Times New Roman"/>
          <w:sz w:val="28"/>
        </w:rPr>
      </w:pPr>
      <w:r>
        <w:rPr>
          <w:rFonts w:ascii="Times New Roman" w:hAnsi="Times New Roman"/>
          <w:sz w:val="28"/>
        </w:rPr>
        <w:t>Лидером по количеству негативных отзывов по всем анализируемым характеристикам стал</w:t>
      </w:r>
      <w:r>
        <w:rPr>
          <w:rFonts w:ascii="Times New Roman" w:hAnsi="Times New Roman"/>
          <w:sz w:val="28"/>
        </w:rPr>
        <w:t>и</w:t>
      </w:r>
      <w:r>
        <w:rPr>
          <w:rFonts w:ascii="Times New Roman" w:hAnsi="Times New Roman"/>
          <w:sz w:val="28"/>
        </w:rPr>
        <w:t xml:space="preserve"> рын</w:t>
      </w:r>
      <w:r>
        <w:rPr>
          <w:rFonts w:ascii="Times New Roman" w:hAnsi="Times New Roman"/>
          <w:sz w:val="28"/>
        </w:rPr>
        <w:t>ки</w:t>
      </w:r>
      <w:r>
        <w:rPr>
          <w:rFonts w:ascii="Times New Roman" w:hAnsi="Times New Roman"/>
          <w:sz w:val="28"/>
        </w:rPr>
        <w:t xml:space="preserve"> </w:t>
      </w:r>
      <w:r>
        <w:rPr>
          <w:rFonts w:ascii="Times New Roman" w:hAnsi="Times New Roman"/>
          <w:sz w:val="28"/>
        </w:rPr>
        <w:t>жилищно-коммунальных услуг, перевозок пассажиров наземным транспортом</w:t>
      </w:r>
      <w:r>
        <w:rPr>
          <w:rFonts w:ascii="Times New Roman" w:hAnsi="Times New Roman"/>
          <w:sz w:val="28"/>
        </w:rPr>
        <w:t>.</w:t>
      </w:r>
    </w:p>
    <w:p w14:paraId="9A030000">
      <w:pPr>
        <w:spacing w:after="0"/>
        <w:ind w:firstLine="709" w:left="0"/>
        <w:jc w:val="both"/>
        <w:rPr>
          <w:rFonts w:ascii="Times New Roman" w:hAnsi="Times New Roman"/>
          <w:sz w:val="28"/>
        </w:rPr>
      </w:pPr>
      <w:r>
        <w:rPr>
          <w:rFonts w:ascii="Times New Roman" w:hAnsi="Times New Roman"/>
          <w:sz w:val="28"/>
        </w:rPr>
        <w:t xml:space="preserve">При этом большинство затруднялись ответить по критериям «качество», «уровень цен» и «возможность выбора» по следующим рынкам: </w:t>
      </w:r>
      <w:r>
        <w:rPr>
          <w:rFonts w:ascii="Times New Roman" w:hAnsi="Times New Roman"/>
          <w:sz w:val="28"/>
        </w:rPr>
        <w:t>р</w:t>
      </w:r>
      <w:r>
        <w:rPr>
          <w:rFonts w:ascii="Times New Roman" w:hAnsi="Times New Roman"/>
          <w:sz w:val="28"/>
        </w:rPr>
        <w:t xml:space="preserve">ынок промышленности, </w:t>
      </w:r>
      <w:r>
        <w:rPr>
          <w:rFonts w:ascii="Times New Roman" w:hAnsi="Times New Roman"/>
          <w:sz w:val="28"/>
        </w:rPr>
        <w:t>рынок социального обслуживания населения</w:t>
      </w:r>
      <w:r>
        <w:rPr>
          <w:rFonts w:ascii="Times New Roman" w:hAnsi="Times New Roman"/>
          <w:sz w:val="28"/>
        </w:rPr>
        <w:t>.</w:t>
      </w:r>
    </w:p>
    <w:p w14:paraId="9B030000">
      <w:pPr>
        <w:spacing w:after="0"/>
        <w:ind w:firstLine="709" w:left="0"/>
        <w:jc w:val="both"/>
        <w:rPr>
          <w:rFonts w:ascii="Times New Roman" w:hAnsi="Times New Roman"/>
          <w:sz w:val="28"/>
        </w:rPr>
      </w:pPr>
      <w:r>
        <w:rPr>
          <w:rFonts w:ascii="Times New Roman" w:hAnsi="Times New Roman"/>
          <w:sz w:val="28"/>
        </w:rPr>
        <w:t xml:space="preserve">Одной из основных задач по развитию конкуренции в городе является повышение уровня информационной открытости деятельности органов </w:t>
      </w:r>
      <w:r>
        <w:rPr>
          <w:rFonts w:ascii="Times New Roman" w:hAnsi="Times New Roman"/>
          <w:sz w:val="28"/>
        </w:rPr>
        <w:t>местного самоуправления</w:t>
      </w:r>
      <w:r>
        <w:rPr>
          <w:rFonts w:ascii="Times New Roman" w:hAnsi="Times New Roman"/>
          <w:sz w:val="28"/>
        </w:rPr>
        <w:t xml:space="preserve">, в том числе по вопросу о состоянии конкурентной среды на рынках товаров и услуг города </w:t>
      </w:r>
      <w:r>
        <w:rPr>
          <w:rFonts w:ascii="Times New Roman" w:hAnsi="Times New Roman"/>
          <w:sz w:val="28"/>
        </w:rPr>
        <w:t>Волгодонска</w:t>
      </w:r>
      <w:r>
        <w:rPr>
          <w:rFonts w:ascii="Times New Roman" w:hAnsi="Times New Roman"/>
          <w:sz w:val="28"/>
        </w:rPr>
        <w:t>.</w:t>
      </w:r>
    </w:p>
    <w:p w14:paraId="9C030000">
      <w:pPr>
        <w:spacing w:after="0"/>
        <w:ind w:firstLine="709" w:left="0"/>
        <w:jc w:val="both"/>
        <w:rPr>
          <w:rFonts w:ascii="Times New Roman" w:hAnsi="Times New Roman"/>
          <w:sz w:val="28"/>
        </w:rPr>
      </w:pPr>
      <w:r>
        <w:rPr>
          <w:rFonts w:ascii="Times New Roman" w:hAnsi="Times New Roman"/>
          <w:sz w:val="28"/>
        </w:rPr>
        <w:t xml:space="preserve">В результате оценки качества официальной информации о состоянии конкурентной среды на рынках товаров и услуг городе </w:t>
      </w:r>
      <w:r>
        <w:rPr>
          <w:rFonts w:ascii="Times New Roman" w:hAnsi="Times New Roman"/>
          <w:sz w:val="28"/>
        </w:rPr>
        <w:t>Волгодонска</w:t>
      </w:r>
      <w:r>
        <w:rPr>
          <w:rFonts w:ascii="Times New Roman" w:hAnsi="Times New Roman"/>
          <w:sz w:val="28"/>
        </w:rPr>
        <w:t xml:space="preserve"> и деятельности по содействию развитию конкуренции, размещаемой в открытом доступе доля опрошенных, в той или иной мере удовлетворенных уровнем понятности, доступности и удобством получения официальной информации, существенно превысила долю неудовлетворенных респондентов по данным критериям.</w:t>
      </w:r>
    </w:p>
    <w:p w14:paraId="9D030000">
      <w:pPr>
        <w:spacing w:after="0"/>
        <w:ind w:firstLine="709" w:left="0"/>
        <w:jc w:val="both"/>
        <w:rPr>
          <w:rFonts w:ascii="Times New Roman" w:hAnsi="Times New Roman"/>
          <w:sz w:val="28"/>
        </w:rPr>
      </w:pPr>
      <w:r>
        <w:rPr>
          <w:rFonts w:ascii="Times New Roman" w:hAnsi="Times New Roman"/>
          <w:sz w:val="28"/>
        </w:rPr>
        <w:t xml:space="preserve">В процесс опроса респондентам было предложено назвать основные товары и услуги, на которые, по их мнению, цены в городе выше по сравнению с другими городами Ростовской области. </w:t>
      </w:r>
    </w:p>
    <w:p w14:paraId="9E030000">
      <w:pPr>
        <w:spacing w:after="0"/>
        <w:ind w:firstLine="709" w:left="0"/>
        <w:jc w:val="both"/>
        <w:rPr>
          <w:rFonts w:ascii="Times New Roman" w:hAnsi="Times New Roman"/>
          <w:sz w:val="28"/>
        </w:rPr>
      </w:pPr>
      <w:r>
        <w:rPr>
          <w:rFonts w:ascii="Times New Roman" w:hAnsi="Times New Roman"/>
          <w:sz w:val="28"/>
        </w:rPr>
        <w:t xml:space="preserve">По мнению опрошенных наиболее высокие цены на продовольственные товары приходятся на чай, масло, мясо и мясные товары, рыбу и рыбные товары. </w:t>
      </w:r>
    </w:p>
    <w:p w14:paraId="9F030000">
      <w:pPr>
        <w:spacing w:after="0"/>
        <w:ind w:firstLine="709" w:left="0"/>
        <w:jc w:val="both"/>
        <w:rPr>
          <w:rFonts w:ascii="Times New Roman" w:hAnsi="Times New Roman"/>
          <w:sz w:val="28"/>
        </w:rPr>
      </w:pPr>
      <w:r>
        <w:rPr>
          <w:rFonts w:ascii="Times New Roman" w:hAnsi="Times New Roman"/>
          <w:sz w:val="28"/>
        </w:rPr>
        <w:t>По непродовольственным товарам на бензин автомобильный.</w:t>
      </w:r>
    </w:p>
    <w:p w14:paraId="A0030000">
      <w:pPr>
        <w:spacing w:after="0"/>
        <w:ind w:firstLine="709" w:left="0"/>
        <w:jc w:val="both"/>
        <w:rPr>
          <w:rFonts w:ascii="Times New Roman" w:hAnsi="Times New Roman"/>
          <w:sz w:val="28"/>
        </w:rPr>
      </w:pPr>
      <w:r>
        <w:rPr>
          <w:rFonts w:ascii="Times New Roman" w:hAnsi="Times New Roman"/>
          <w:sz w:val="28"/>
        </w:rPr>
        <w:t>На услуги наивысший показатель у цен на жилищно-коммунальные услуги.</w:t>
      </w:r>
    </w:p>
    <w:p w14:paraId="A1030000">
      <w:pPr>
        <w:spacing w:after="0"/>
        <w:ind w:firstLine="709" w:left="0"/>
        <w:jc w:val="both"/>
        <w:rPr>
          <w:rFonts w:ascii="Times New Roman" w:hAnsi="Times New Roman"/>
          <w:sz w:val="28"/>
        </w:rPr>
      </w:pPr>
      <w:r>
        <w:rPr>
          <w:rFonts w:ascii="Times New Roman" w:hAnsi="Times New Roman"/>
          <w:sz w:val="28"/>
        </w:rPr>
        <w:t xml:space="preserve">По итогам оценки респондентами качества услуг субъектов естественных монополий большая часть респондентов оказалась в той или иной мере удовлетворена услугами практически всех естественных монополий, за исключением услуг по водоочистке, водоснабжения и водоотведения. </w:t>
      </w:r>
      <w:r>
        <w:rPr>
          <w:rFonts w:ascii="Times New Roman" w:hAnsi="Times New Roman"/>
          <w:sz w:val="28"/>
        </w:rPr>
        <w:t>При этом большинство опрошенных посчитали, что цены на услуги естественных монополий высокие (от 82% на услуги по водоснабжению, водоотведению и на услуги теплоснабжения).</w:t>
      </w:r>
    </w:p>
    <w:p w14:paraId="A2030000">
      <w:pPr>
        <w:spacing w:after="0"/>
        <w:ind w:firstLine="709" w:left="0"/>
        <w:jc w:val="both"/>
        <w:rPr>
          <w:rFonts w:ascii="Times New Roman" w:hAnsi="Times New Roman"/>
          <w:sz w:val="28"/>
        </w:rPr>
      </w:pPr>
      <w:r>
        <w:rPr>
          <w:rFonts w:ascii="Times New Roman" w:hAnsi="Times New Roman"/>
          <w:sz w:val="28"/>
        </w:rPr>
        <w:t xml:space="preserve">Потребители города редко обращались за защитой своих прав по характеристикам товаров и услуг. Лишь около </w:t>
      </w:r>
      <w:r>
        <w:rPr>
          <w:rFonts w:ascii="Times New Roman" w:hAnsi="Times New Roman"/>
          <w:sz w:val="28"/>
        </w:rPr>
        <w:t>2</w:t>
      </w:r>
      <w:r>
        <w:rPr>
          <w:rFonts w:ascii="Times New Roman" w:hAnsi="Times New Roman"/>
          <w:sz w:val="28"/>
        </w:rPr>
        <w:t>% опрошенных ответили положительно</w:t>
      </w:r>
      <w:r>
        <w:rPr>
          <w:rFonts w:ascii="Times New Roman" w:hAnsi="Times New Roman"/>
          <w:sz w:val="28"/>
        </w:rPr>
        <w:t>, чаще обращались в Администрацию города Волгодонска и общественные организации по защите прав потребителей</w:t>
      </w:r>
      <w:r>
        <w:rPr>
          <w:rFonts w:ascii="Times New Roman" w:hAnsi="Times New Roman"/>
          <w:sz w:val="28"/>
        </w:rPr>
        <w:t>.</w:t>
      </w:r>
    </w:p>
    <w:p w14:paraId="A3030000">
      <w:pPr>
        <w:spacing w:after="0"/>
        <w:ind w:firstLine="709" w:left="0"/>
        <w:jc w:val="both"/>
        <w:rPr>
          <w:b w:val="1"/>
          <w:sz w:val="28"/>
        </w:rPr>
      </w:pPr>
      <w:r>
        <w:rPr>
          <w:rFonts w:ascii="Times New Roman" w:hAnsi="Times New Roman"/>
          <w:sz w:val="28"/>
        </w:rPr>
        <w:t>В качестве основных направлений развития конкурентной среды в городе большинством участников опроса было предложено установить контрол</w:t>
      </w:r>
      <w:r>
        <w:rPr>
          <w:rFonts w:ascii="Times New Roman" w:hAnsi="Times New Roman"/>
          <w:sz w:val="28"/>
        </w:rPr>
        <w:t>я</w:t>
      </w:r>
      <w:r>
        <w:rPr>
          <w:rFonts w:ascii="Times New Roman" w:hAnsi="Times New Roman"/>
          <w:sz w:val="28"/>
        </w:rPr>
        <w:t xml:space="preserve"> над ростом цен (</w:t>
      </w:r>
      <w:r>
        <w:rPr>
          <w:rFonts w:ascii="Times New Roman" w:hAnsi="Times New Roman"/>
          <w:sz w:val="28"/>
        </w:rPr>
        <w:t>39</w:t>
      </w:r>
      <w:r>
        <w:rPr>
          <w:rFonts w:ascii="Times New Roman" w:hAnsi="Times New Roman"/>
          <w:sz w:val="28"/>
        </w:rPr>
        <w:t>%), обеспеч</w:t>
      </w:r>
      <w:r>
        <w:rPr>
          <w:rFonts w:ascii="Times New Roman" w:hAnsi="Times New Roman"/>
          <w:sz w:val="28"/>
        </w:rPr>
        <w:t>ения</w:t>
      </w:r>
      <w:r>
        <w:rPr>
          <w:rFonts w:ascii="Times New Roman" w:hAnsi="Times New Roman"/>
          <w:sz w:val="28"/>
        </w:rPr>
        <w:t xml:space="preserve"> качеств</w:t>
      </w:r>
      <w:r>
        <w:rPr>
          <w:rFonts w:ascii="Times New Roman" w:hAnsi="Times New Roman"/>
          <w:sz w:val="28"/>
        </w:rPr>
        <w:t>а</w:t>
      </w:r>
      <w:r>
        <w:rPr>
          <w:rFonts w:ascii="Times New Roman" w:hAnsi="Times New Roman"/>
          <w:sz w:val="28"/>
        </w:rPr>
        <w:t xml:space="preserve"> производимой и продаваемой продукции (</w:t>
      </w:r>
      <w:r>
        <w:rPr>
          <w:rFonts w:ascii="Times New Roman" w:hAnsi="Times New Roman"/>
          <w:sz w:val="28"/>
        </w:rPr>
        <w:t>20</w:t>
      </w:r>
      <w:r>
        <w:rPr>
          <w:rFonts w:ascii="Times New Roman" w:hAnsi="Times New Roman"/>
          <w:sz w:val="28"/>
        </w:rPr>
        <w:t>%)</w:t>
      </w:r>
      <w:r>
        <w:rPr>
          <w:rFonts w:ascii="Times New Roman" w:hAnsi="Times New Roman"/>
          <w:sz w:val="28"/>
        </w:rPr>
        <w:t>,</w:t>
      </w:r>
      <w:r>
        <w:rPr>
          <w:rFonts w:ascii="Times New Roman" w:hAnsi="Times New Roman"/>
          <w:sz w:val="28"/>
        </w:rPr>
        <w:t xml:space="preserve"> контроль работы </w:t>
      </w:r>
      <w:r>
        <w:rPr>
          <w:rFonts w:ascii="Times New Roman" w:hAnsi="Times New Roman"/>
          <w:sz w:val="28"/>
        </w:rPr>
        <w:t>естественных монополий и поддержка новых направлений развития экономики города (16%).</w:t>
      </w:r>
    </w:p>
    <w:p w14:paraId="A4030000">
      <w:pPr>
        <w:pStyle w:val="Style_3"/>
        <w:spacing w:after="0" w:before="0" w:line="276" w:lineRule="auto"/>
        <w:ind/>
        <w:jc w:val="center"/>
        <w:rPr>
          <w:b w:val="1"/>
          <w:sz w:val="28"/>
        </w:rPr>
      </w:pPr>
    </w:p>
    <w:p w14:paraId="A5030000">
      <w:pPr>
        <w:pStyle w:val="Style_3"/>
        <w:spacing w:after="0" w:before="0" w:line="276" w:lineRule="auto"/>
        <w:ind/>
        <w:jc w:val="center"/>
        <w:rPr>
          <w:b w:val="1"/>
          <w:sz w:val="28"/>
        </w:rPr>
      </w:pPr>
    </w:p>
    <w:p w14:paraId="A6030000">
      <w:pPr>
        <w:pStyle w:val="Style_3"/>
        <w:spacing w:after="0" w:before="0" w:line="276" w:lineRule="auto"/>
        <w:ind/>
        <w:jc w:val="center"/>
        <w:rPr>
          <w:b w:val="1"/>
          <w:sz w:val="28"/>
        </w:rPr>
      </w:pPr>
    </w:p>
    <w:p w14:paraId="A7030000">
      <w:pPr>
        <w:pStyle w:val="Style_3"/>
        <w:spacing w:after="0" w:before="0" w:line="276" w:lineRule="auto"/>
        <w:ind/>
        <w:jc w:val="center"/>
        <w:rPr>
          <w:b w:val="1"/>
          <w:sz w:val="28"/>
        </w:rPr>
      </w:pPr>
    </w:p>
    <w:p w14:paraId="A8030000">
      <w:pPr>
        <w:pStyle w:val="Style_3"/>
        <w:spacing w:after="0" w:before="0" w:line="276" w:lineRule="auto"/>
        <w:ind/>
        <w:jc w:val="center"/>
        <w:rPr>
          <w:b w:val="1"/>
          <w:sz w:val="28"/>
        </w:rPr>
      </w:pPr>
    </w:p>
    <w:p w14:paraId="A9030000">
      <w:pPr>
        <w:pStyle w:val="Style_3"/>
        <w:spacing w:after="0" w:before="0" w:line="276" w:lineRule="auto"/>
        <w:ind/>
        <w:jc w:val="center"/>
        <w:rPr>
          <w:b w:val="1"/>
          <w:sz w:val="28"/>
        </w:rPr>
      </w:pPr>
    </w:p>
    <w:p w14:paraId="AA030000">
      <w:pPr>
        <w:pStyle w:val="Style_3"/>
        <w:spacing w:after="0" w:before="0" w:line="276" w:lineRule="auto"/>
        <w:ind/>
        <w:jc w:val="center"/>
        <w:rPr>
          <w:b w:val="1"/>
          <w:sz w:val="28"/>
        </w:rPr>
      </w:pPr>
    </w:p>
    <w:p w14:paraId="AB030000">
      <w:pPr>
        <w:pStyle w:val="Style_3"/>
        <w:spacing w:after="0" w:before="0" w:line="276" w:lineRule="auto"/>
        <w:ind/>
        <w:jc w:val="center"/>
        <w:rPr>
          <w:b w:val="1"/>
          <w:sz w:val="28"/>
        </w:rPr>
      </w:pPr>
    </w:p>
    <w:p w14:paraId="AC030000">
      <w:pPr>
        <w:pStyle w:val="Style_3"/>
        <w:spacing w:after="0" w:before="0" w:line="276" w:lineRule="auto"/>
        <w:ind/>
        <w:jc w:val="center"/>
        <w:rPr>
          <w:b w:val="1"/>
          <w:sz w:val="28"/>
        </w:rPr>
      </w:pPr>
    </w:p>
    <w:p w14:paraId="AD030000">
      <w:pPr>
        <w:pStyle w:val="Style_3"/>
        <w:spacing w:after="0" w:before="0" w:line="276" w:lineRule="auto"/>
        <w:ind/>
        <w:jc w:val="center"/>
        <w:rPr>
          <w:b w:val="1"/>
          <w:sz w:val="28"/>
        </w:rPr>
      </w:pPr>
    </w:p>
    <w:p w14:paraId="AE030000">
      <w:pPr>
        <w:pStyle w:val="Style_3"/>
        <w:spacing w:after="0" w:before="0" w:line="276" w:lineRule="auto"/>
        <w:ind/>
        <w:jc w:val="center"/>
        <w:rPr>
          <w:b w:val="1"/>
          <w:sz w:val="28"/>
        </w:rPr>
      </w:pPr>
    </w:p>
    <w:p w14:paraId="AF030000">
      <w:pPr>
        <w:pStyle w:val="Style_3"/>
        <w:spacing w:after="0" w:before="0" w:line="276" w:lineRule="auto"/>
        <w:ind/>
        <w:jc w:val="center"/>
        <w:rPr>
          <w:b w:val="1"/>
          <w:sz w:val="28"/>
        </w:rPr>
      </w:pPr>
    </w:p>
    <w:p w14:paraId="B0030000">
      <w:pPr>
        <w:pStyle w:val="Style_3"/>
        <w:spacing w:after="0" w:before="0" w:line="276" w:lineRule="auto"/>
        <w:ind/>
        <w:jc w:val="center"/>
        <w:rPr>
          <w:b w:val="1"/>
          <w:sz w:val="28"/>
        </w:rPr>
      </w:pPr>
    </w:p>
    <w:p w14:paraId="B1030000">
      <w:pPr>
        <w:pStyle w:val="Style_3"/>
        <w:spacing w:after="0" w:before="0" w:line="276" w:lineRule="auto"/>
        <w:ind/>
        <w:jc w:val="center"/>
        <w:rPr>
          <w:b w:val="1"/>
          <w:sz w:val="28"/>
        </w:rPr>
      </w:pPr>
    </w:p>
    <w:p w14:paraId="B2030000">
      <w:pPr>
        <w:pStyle w:val="Style_3"/>
        <w:spacing w:after="0" w:before="0" w:line="276" w:lineRule="auto"/>
        <w:ind/>
        <w:jc w:val="center"/>
        <w:rPr>
          <w:b w:val="1"/>
          <w:sz w:val="28"/>
        </w:rPr>
      </w:pPr>
    </w:p>
    <w:p w14:paraId="B3030000">
      <w:pPr>
        <w:pStyle w:val="Style_3"/>
        <w:spacing w:after="0" w:before="0" w:line="276" w:lineRule="auto"/>
        <w:ind/>
        <w:jc w:val="center"/>
        <w:rPr>
          <w:b w:val="1"/>
          <w:sz w:val="28"/>
        </w:rPr>
      </w:pPr>
    </w:p>
    <w:p w14:paraId="B4030000">
      <w:pPr>
        <w:pStyle w:val="Style_3"/>
        <w:spacing w:after="0" w:before="0" w:line="276" w:lineRule="auto"/>
        <w:ind/>
        <w:jc w:val="center"/>
        <w:rPr>
          <w:b w:val="1"/>
          <w:sz w:val="28"/>
        </w:rPr>
      </w:pPr>
    </w:p>
    <w:p w14:paraId="B5030000">
      <w:pPr>
        <w:pStyle w:val="Style_3"/>
        <w:spacing w:after="0" w:before="0" w:line="276" w:lineRule="auto"/>
        <w:ind/>
        <w:jc w:val="center"/>
        <w:rPr>
          <w:b w:val="1"/>
          <w:sz w:val="28"/>
        </w:rPr>
      </w:pPr>
      <w:r>
        <w:rPr>
          <w:b w:val="1"/>
          <w:sz w:val="28"/>
        </w:rPr>
        <w:t>МОНИТОРИНГ</w:t>
      </w:r>
      <w:r>
        <w:rPr>
          <w:b w:val="1"/>
          <w:sz w:val="28"/>
        </w:rPr>
        <w:t xml:space="preserve"> </w:t>
      </w:r>
    </w:p>
    <w:p w14:paraId="B6030000">
      <w:pPr>
        <w:pStyle w:val="Style_3"/>
        <w:spacing w:after="0" w:before="0" w:line="276" w:lineRule="auto"/>
        <w:ind/>
        <w:jc w:val="center"/>
        <w:rPr>
          <w:b w:val="1"/>
          <w:sz w:val="28"/>
        </w:rPr>
      </w:pPr>
      <w:r>
        <w:rPr>
          <w:b w:val="1"/>
          <w:sz w:val="28"/>
        </w:rPr>
        <w:t xml:space="preserve">реализации </w:t>
      </w:r>
      <w:r>
        <w:rPr>
          <w:b w:val="1"/>
          <w:sz w:val="28"/>
        </w:rPr>
        <w:t>плана мероприятий («дорожной карты»)</w:t>
      </w:r>
    </w:p>
    <w:p w14:paraId="B7030000">
      <w:pPr>
        <w:pStyle w:val="Style_3"/>
        <w:spacing w:after="0" w:before="0" w:line="276" w:lineRule="auto"/>
        <w:ind/>
        <w:jc w:val="center"/>
        <w:rPr>
          <w:b w:val="1"/>
          <w:sz w:val="28"/>
        </w:rPr>
      </w:pPr>
      <w:r>
        <w:rPr>
          <w:b w:val="1"/>
          <w:sz w:val="28"/>
        </w:rPr>
        <w:t>по содействию развитию конкуренции в городе Волгодонске за</w:t>
      </w:r>
    </w:p>
    <w:p w14:paraId="B8030000">
      <w:pPr>
        <w:pStyle w:val="Style_3"/>
        <w:spacing w:after="0" w:before="0" w:line="276" w:lineRule="auto"/>
        <w:ind/>
        <w:jc w:val="center"/>
        <w:rPr>
          <w:b w:val="1"/>
          <w:sz w:val="28"/>
        </w:rPr>
      </w:pPr>
      <w:r>
        <w:rPr>
          <w:b w:val="1"/>
          <w:sz w:val="28"/>
        </w:rPr>
        <w:t xml:space="preserve"> 20</w:t>
      </w:r>
      <w:r>
        <w:rPr>
          <w:b w:val="1"/>
          <w:sz w:val="28"/>
        </w:rPr>
        <w:t>21</w:t>
      </w:r>
      <w:r>
        <w:rPr>
          <w:b w:val="1"/>
          <w:sz w:val="28"/>
        </w:rPr>
        <w:t xml:space="preserve"> года</w:t>
      </w:r>
    </w:p>
    <w:p w14:paraId="B9030000">
      <w:pPr>
        <w:pStyle w:val="Style_3"/>
        <w:spacing w:after="0" w:before="0" w:line="276" w:lineRule="auto"/>
        <w:ind/>
        <w:jc w:val="both"/>
        <w:rPr>
          <w:sz w:val="28"/>
        </w:rPr>
      </w:pPr>
    </w:p>
    <w:p w14:paraId="BA030000">
      <w:pPr>
        <w:spacing w:after="0" w:line="240" w:lineRule="auto"/>
        <w:ind w:firstLine="709" w:left="0"/>
        <w:jc w:val="both"/>
        <w:rPr>
          <w:rFonts w:ascii="Times New Roman" w:hAnsi="Times New Roman"/>
          <w:sz w:val="28"/>
        </w:rPr>
      </w:pPr>
      <w:r>
        <w:rPr>
          <w:rFonts w:ascii="Times New Roman" w:hAnsi="Times New Roman"/>
          <w:sz w:val="28"/>
        </w:rPr>
        <w:t xml:space="preserve">Перечень социально значимых рынков для содействия развитию конкуренции в </w:t>
      </w:r>
      <w:r>
        <w:rPr>
          <w:rFonts w:ascii="Times New Roman" w:hAnsi="Times New Roman"/>
          <w:sz w:val="28"/>
        </w:rPr>
        <w:t xml:space="preserve">городе Волгодонске </w:t>
      </w:r>
      <w:r>
        <w:rPr>
          <w:rFonts w:ascii="Times New Roman" w:hAnsi="Times New Roman"/>
          <w:sz w:val="28"/>
        </w:rPr>
        <w:t xml:space="preserve"> включает в себя 10 рынков, рекомендованных на региональном и </w:t>
      </w:r>
      <w:r>
        <w:rPr>
          <w:rFonts w:ascii="Times New Roman" w:hAnsi="Times New Roman"/>
          <w:sz w:val="28"/>
        </w:rPr>
        <w:t>федеральном уровне:</w:t>
      </w:r>
    </w:p>
    <w:p w14:paraId="BB030000">
      <w:pPr>
        <w:spacing w:after="0" w:line="240" w:lineRule="auto"/>
        <w:ind w:firstLine="709" w:left="0"/>
        <w:jc w:val="both"/>
        <w:rPr>
          <w:rFonts w:ascii="Times New Roman" w:hAnsi="Times New Roman"/>
          <w:sz w:val="28"/>
        </w:rPr>
      </w:pPr>
      <w:r>
        <w:rPr>
          <w:rFonts w:ascii="Times New Roman" w:hAnsi="Times New Roman"/>
          <w:sz w:val="28"/>
        </w:rPr>
        <w:t>1. Рынок услуг дошкольного образования.</w:t>
      </w:r>
    </w:p>
    <w:p w14:paraId="BC030000">
      <w:pPr>
        <w:spacing w:after="0" w:line="240" w:lineRule="auto"/>
        <w:ind w:firstLine="709" w:left="0"/>
        <w:jc w:val="both"/>
        <w:rPr>
          <w:rFonts w:ascii="Times New Roman" w:hAnsi="Times New Roman"/>
          <w:sz w:val="28"/>
        </w:rPr>
      </w:pPr>
      <w:r>
        <w:rPr>
          <w:rFonts w:ascii="Times New Roman" w:hAnsi="Times New Roman"/>
          <w:sz w:val="28"/>
        </w:rPr>
        <w:t>2. Рынок услуг дополнительного образования детей.</w:t>
      </w:r>
    </w:p>
    <w:p w14:paraId="BD030000">
      <w:pPr>
        <w:spacing w:after="0" w:line="240" w:lineRule="auto"/>
        <w:ind w:firstLine="709" w:left="0"/>
        <w:jc w:val="both"/>
        <w:rPr>
          <w:rFonts w:ascii="Times New Roman" w:hAnsi="Times New Roman"/>
          <w:sz w:val="28"/>
        </w:rPr>
      </w:pPr>
      <w:r>
        <w:rPr>
          <w:rFonts w:ascii="Times New Roman" w:hAnsi="Times New Roman"/>
          <w:sz w:val="28"/>
        </w:rPr>
        <w:t>3. Рынок медицинских услуг.</w:t>
      </w:r>
    </w:p>
    <w:p w14:paraId="BE030000">
      <w:pPr>
        <w:spacing w:after="0" w:line="240" w:lineRule="auto"/>
        <w:ind w:firstLine="709" w:left="0"/>
        <w:jc w:val="both"/>
        <w:rPr>
          <w:rFonts w:ascii="Times New Roman" w:hAnsi="Times New Roman"/>
          <w:sz w:val="28"/>
        </w:rPr>
      </w:pPr>
      <w:r>
        <w:rPr>
          <w:rFonts w:ascii="Times New Roman" w:hAnsi="Times New Roman"/>
          <w:sz w:val="28"/>
        </w:rPr>
        <w:t>4. Рынок услуг в сфере культуры.</w:t>
      </w:r>
    </w:p>
    <w:p w14:paraId="BF030000">
      <w:pPr>
        <w:spacing w:after="0" w:line="240" w:lineRule="auto"/>
        <w:ind w:firstLine="709" w:left="0"/>
        <w:jc w:val="both"/>
        <w:rPr>
          <w:rFonts w:ascii="Times New Roman" w:hAnsi="Times New Roman"/>
          <w:sz w:val="28"/>
        </w:rPr>
      </w:pPr>
      <w:r>
        <w:rPr>
          <w:rFonts w:ascii="Times New Roman" w:hAnsi="Times New Roman"/>
          <w:sz w:val="28"/>
        </w:rPr>
        <w:t>5. Рынок услуг жилищно-коммунального хозяйства.</w:t>
      </w:r>
    </w:p>
    <w:p w14:paraId="C0030000">
      <w:pPr>
        <w:spacing w:after="0" w:line="240" w:lineRule="auto"/>
        <w:ind w:firstLine="709" w:left="0"/>
        <w:jc w:val="both"/>
        <w:rPr>
          <w:rFonts w:ascii="Times New Roman" w:hAnsi="Times New Roman"/>
          <w:sz w:val="28"/>
        </w:rPr>
      </w:pPr>
      <w:r>
        <w:rPr>
          <w:rFonts w:ascii="Times New Roman" w:hAnsi="Times New Roman"/>
          <w:sz w:val="28"/>
        </w:rPr>
        <w:t>6. Рынок розничной торговли.</w:t>
      </w:r>
    </w:p>
    <w:p w14:paraId="C1030000">
      <w:pPr>
        <w:spacing w:after="0" w:line="240" w:lineRule="auto"/>
        <w:ind w:firstLine="709" w:left="0"/>
        <w:jc w:val="both"/>
        <w:rPr>
          <w:rFonts w:ascii="Times New Roman" w:hAnsi="Times New Roman"/>
          <w:sz w:val="28"/>
        </w:rPr>
      </w:pPr>
      <w:r>
        <w:rPr>
          <w:rFonts w:ascii="Times New Roman" w:hAnsi="Times New Roman"/>
          <w:sz w:val="28"/>
        </w:rPr>
        <w:t>7. Рынок услуг перевозок пассажиров наземным транспортом.</w:t>
      </w:r>
    </w:p>
    <w:p w14:paraId="C2030000">
      <w:pPr>
        <w:spacing w:after="0" w:line="240" w:lineRule="auto"/>
        <w:ind w:firstLine="709" w:left="0"/>
        <w:jc w:val="both"/>
        <w:rPr>
          <w:rFonts w:ascii="Times New Roman" w:hAnsi="Times New Roman"/>
          <w:sz w:val="28"/>
        </w:rPr>
      </w:pPr>
      <w:r>
        <w:rPr>
          <w:rFonts w:ascii="Times New Roman" w:hAnsi="Times New Roman"/>
          <w:sz w:val="28"/>
        </w:rPr>
        <w:t>8. Рынок услуг социального обслуживания населения.</w:t>
      </w:r>
    </w:p>
    <w:p w14:paraId="C3030000">
      <w:pPr>
        <w:spacing w:after="0" w:line="240" w:lineRule="auto"/>
        <w:ind w:firstLine="709" w:left="0"/>
        <w:jc w:val="both"/>
        <w:rPr>
          <w:rFonts w:ascii="Times New Roman" w:hAnsi="Times New Roman"/>
          <w:sz w:val="28"/>
        </w:rPr>
      </w:pPr>
      <w:r>
        <w:rPr>
          <w:rFonts w:ascii="Times New Roman" w:hAnsi="Times New Roman"/>
          <w:sz w:val="28"/>
        </w:rPr>
        <w:t>9. Рынок жилищного строительства.</w:t>
      </w:r>
    </w:p>
    <w:p w14:paraId="C4030000">
      <w:pPr>
        <w:spacing w:after="0" w:line="240" w:lineRule="auto"/>
        <w:ind w:firstLine="709" w:left="0"/>
        <w:jc w:val="both"/>
        <w:rPr>
          <w:rFonts w:ascii="Times New Roman" w:hAnsi="Times New Roman"/>
          <w:sz w:val="28"/>
        </w:rPr>
      </w:pPr>
      <w:r>
        <w:rPr>
          <w:rFonts w:ascii="Times New Roman" w:hAnsi="Times New Roman"/>
          <w:sz w:val="28"/>
        </w:rPr>
        <w:t>10. Рынок промышленного производства.</w:t>
      </w:r>
    </w:p>
    <w:p w14:paraId="C5030000">
      <w:pPr>
        <w:pStyle w:val="Style_16"/>
        <w:widowControl w:val="1"/>
        <w:ind w:firstLine="708" w:left="0" w:right="-30"/>
        <w:jc w:val="both"/>
        <w:outlineLvl w:val="0"/>
        <w:rPr>
          <w:rFonts w:ascii="Times New Roman" w:hAnsi="Times New Roman"/>
          <w:b w:val="0"/>
          <w:sz w:val="28"/>
        </w:rPr>
      </w:pPr>
      <w:r>
        <w:rPr>
          <w:rFonts w:ascii="Times New Roman" w:hAnsi="Times New Roman"/>
          <w:b w:val="0"/>
          <w:sz w:val="28"/>
        </w:rPr>
        <w:t>План мероприятий («дорожной карты») по содействию развития конкуренции в городе Волгодонске в 2021 году и показателей (индикаторов), утвержденных постановлением Администрации города Волгодонска от 16.03.2020 №552 «Об утверждении Перечня приоритетных и социально значимых рынков для содействия развитию конкуренции в городе Волгодонске и Плана мероприятий «дорожной карты» по содействию развитию конкуренции в городе Волгодонске на 2020-2022 годы»</w:t>
      </w:r>
    </w:p>
    <w:p w14:paraId="C6030000">
      <w:pPr>
        <w:pStyle w:val="Style_16"/>
        <w:widowControl w:val="1"/>
        <w:ind w:firstLine="708" w:left="0" w:right="-30"/>
        <w:jc w:val="both"/>
        <w:outlineLvl w:val="0"/>
        <w:rPr>
          <w:rFonts w:ascii="Times New Roman" w:hAnsi="Times New Roman"/>
          <w:b w:val="0"/>
          <w:sz w:val="28"/>
        </w:rPr>
      </w:pPr>
      <w:r>
        <w:rPr>
          <w:rFonts w:ascii="Times New Roman" w:hAnsi="Times New Roman"/>
          <w:b w:val="0"/>
          <w:sz w:val="28"/>
        </w:rPr>
        <w:t>План мероприятий «дорожной карты» по содействию развитию конкуренции в городе Волгодонске</w:t>
      </w:r>
      <w:r>
        <w:rPr>
          <w:rFonts w:ascii="Times New Roman" w:hAnsi="Times New Roman"/>
          <w:b w:val="0"/>
          <w:sz w:val="28"/>
        </w:rPr>
        <w:t xml:space="preserve"> содержит разделы:</w:t>
      </w:r>
    </w:p>
    <w:p w14:paraId="C7030000">
      <w:pPr>
        <w:pStyle w:val="Style_16"/>
        <w:widowControl w:val="1"/>
        <w:ind w:firstLine="708" w:left="0" w:right="-30"/>
        <w:jc w:val="both"/>
        <w:outlineLvl w:val="0"/>
        <w:rPr>
          <w:rFonts w:ascii="Times New Roman" w:hAnsi="Times New Roman"/>
          <w:b w:val="0"/>
          <w:sz w:val="28"/>
        </w:rPr>
      </w:pPr>
      <w:r>
        <w:rPr>
          <w:rFonts w:ascii="Times New Roman" w:hAnsi="Times New Roman"/>
          <w:b w:val="0"/>
          <w:sz w:val="28"/>
        </w:rPr>
        <w:t xml:space="preserve">- </w:t>
      </w:r>
      <w:r>
        <w:rPr>
          <w:rFonts w:ascii="Times New Roman" w:hAnsi="Times New Roman"/>
          <w:b w:val="0"/>
          <w:sz w:val="28"/>
        </w:rPr>
        <w:t>м</w:t>
      </w:r>
      <w:r>
        <w:rPr>
          <w:rFonts w:ascii="Times New Roman" w:hAnsi="Times New Roman"/>
          <w:b w:val="0"/>
          <w:sz w:val="28"/>
        </w:rPr>
        <w:t>ероприятия, направленные на развитие приоритетных и социально значимых рынков в городе Волгодонске</w:t>
      </w:r>
      <w:r>
        <w:rPr>
          <w:rFonts w:ascii="Times New Roman" w:hAnsi="Times New Roman"/>
          <w:b w:val="0"/>
          <w:sz w:val="28"/>
        </w:rPr>
        <w:t xml:space="preserve"> – </w:t>
      </w:r>
      <w:r>
        <w:rPr>
          <w:rFonts w:ascii="Times New Roman" w:hAnsi="Times New Roman"/>
          <w:b w:val="0"/>
          <w:sz w:val="28"/>
        </w:rPr>
        <w:t>2</w:t>
      </w:r>
      <w:r>
        <w:rPr>
          <w:rFonts w:ascii="Times New Roman" w:hAnsi="Times New Roman"/>
          <w:b w:val="0"/>
          <w:sz w:val="28"/>
        </w:rPr>
        <w:t>0</w:t>
      </w:r>
      <w:r>
        <w:rPr>
          <w:rFonts w:ascii="Times New Roman" w:hAnsi="Times New Roman"/>
          <w:b w:val="0"/>
          <w:sz w:val="28"/>
        </w:rPr>
        <w:t>;</w:t>
      </w:r>
    </w:p>
    <w:p w14:paraId="C8030000">
      <w:pPr>
        <w:pStyle w:val="Style_16"/>
        <w:widowControl w:val="1"/>
        <w:ind w:firstLine="708" w:left="0" w:right="-30"/>
        <w:jc w:val="both"/>
        <w:outlineLvl w:val="0"/>
        <w:rPr>
          <w:rFonts w:ascii="Times New Roman" w:hAnsi="Times New Roman"/>
          <w:b w:val="0"/>
          <w:sz w:val="28"/>
        </w:rPr>
      </w:pPr>
      <w:r>
        <w:rPr>
          <w:rFonts w:ascii="Times New Roman" w:hAnsi="Times New Roman"/>
          <w:b w:val="0"/>
          <w:sz w:val="28"/>
        </w:rPr>
        <w:t xml:space="preserve">- </w:t>
      </w:r>
      <w:r>
        <w:rPr>
          <w:rFonts w:ascii="Times New Roman" w:hAnsi="Times New Roman"/>
          <w:b w:val="0"/>
          <w:sz w:val="28"/>
        </w:rPr>
        <w:t xml:space="preserve">реализация системных мероприятий </w:t>
      </w:r>
      <w:r>
        <w:rPr>
          <w:rFonts w:ascii="Times New Roman" w:hAnsi="Times New Roman"/>
          <w:b w:val="0"/>
          <w:sz w:val="28"/>
        </w:rPr>
        <w:t xml:space="preserve">– </w:t>
      </w:r>
      <w:r>
        <w:rPr>
          <w:rFonts w:ascii="Times New Roman" w:hAnsi="Times New Roman"/>
          <w:b w:val="0"/>
          <w:sz w:val="28"/>
        </w:rPr>
        <w:t>7</w:t>
      </w:r>
      <w:r>
        <w:rPr>
          <w:rFonts w:ascii="Times New Roman" w:hAnsi="Times New Roman"/>
          <w:b w:val="0"/>
          <w:sz w:val="28"/>
        </w:rPr>
        <w:t>;</w:t>
      </w:r>
    </w:p>
    <w:p w14:paraId="C9030000">
      <w:pPr>
        <w:pStyle w:val="Style_16"/>
        <w:widowControl w:val="1"/>
        <w:ind w:firstLine="708" w:left="0" w:right="-30"/>
        <w:jc w:val="both"/>
        <w:outlineLvl w:val="0"/>
        <w:rPr>
          <w:rFonts w:ascii="Times New Roman" w:hAnsi="Times New Roman"/>
          <w:b w:val="0"/>
          <w:sz w:val="28"/>
        </w:rPr>
      </w:pPr>
      <w:r>
        <w:rPr>
          <w:rFonts w:ascii="Times New Roman" w:hAnsi="Times New Roman"/>
          <w:b w:val="0"/>
          <w:sz w:val="28"/>
        </w:rPr>
        <w:t xml:space="preserve">- </w:t>
      </w:r>
      <w:r>
        <w:rPr>
          <w:rFonts w:ascii="Times New Roman" w:hAnsi="Times New Roman"/>
          <w:b w:val="0"/>
          <w:sz w:val="28"/>
        </w:rPr>
        <w:t xml:space="preserve">показатели (индикаторы) развития конкурентной среды в городе Волгодонске </w:t>
      </w:r>
      <w:r>
        <w:rPr>
          <w:rFonts w:ascii="Times New Roman" w:hAnsi="Times New Roman"/>
          <w:b w:val="0"/>
          <w:sz w:val="28"/>
        </w:rPr>
        <w:t xml:space="preserve">– </w:t>
      </w:r>
      <w:r>
        <w:rPr>
          <w:rFonts w:ascii="Times New Roman" w:hAnsi="Times New Roman"/>
          <w:b w:val="0"/>
          <w:sz w:val="28"/>
        </w:rPr>
        <w:t>11</w:t>
      </w:r>
      <w:r>
        <w:rPr>
          <w:rFonts w:ascii="Times New Roman" w:hAnsi="Times New Roman"/>
          <w:b w:val="0"/>
          <w:sz w:val="28"/>
        </w:rPr>
        <w:t>.</w:t>
      </w:r>
    </w:p>
    <w:p w14:paraId="CA030000">
      <w:pPr>
        <w:pStyle w:val="Style_16"/>
        <w:widowControl w:val="1"/>
        <w:ind w:firstLine="708" w:left="0" w:right="-30"/>
        <w:jc w:val="both"/>
        <w:outlineLvl w:val="0"/>
        <w:rPr>
          <w:rFonts w:ascii="Times New Roman" w:hAnsi="Times New Roman"/>
          <w:b w:val="0"/>
          <w:sz w:val="28"/>
        </w:rPr>
      </w:pPr>
    </w:p>
    <w:p w14:paraId="CB030000">
      <w:pPr>
        <w:pStyle w:val="Style_17"/>
        <w:spacing w:line="276" w:lineRule="auto"/>
        <w:ind w:firstLine="720" w:left="0"/>
        <w:jc w:val="both"/>
      </w:pPr>
    </w:p>
    <w:p w14:paraId="CC030000">
      <w:pPr>
        <w:sectPr>
          <w:footerReference r:id="rId2" w:type="default"/>
          <w:pgSz w:h="16838" w:orient="portrait" w:w="11906"/>
          <w:pgMar w:bottom="993" w:footer="709" w:gutter="0" w:header="709" w:left="1304" w:right="851" w:top="709"/>
          <w:pgNumType w:start="1"/>
        </w:sectPr>
      </w:pPr>
    </w:p>
    <w:p w14:paraId="CD030000">
      <w:pPr>
        <w:ind/>
        <w:jc w:val="center"/>
        <w:rPr>
          <w:rFonts w:ascii="Times New Roman" w:hAnsi="Times New Roman"/>
          <w:sz w:val="28"/>
        </w:rPr>
      </w:pPr>
      <w:r>
        <w:rPr>
          <w:rFonts w:ascii="Times New Roman" w:hAnsi="Times New Roman"/>
          <w:sz w:val="28"/>
        </w:rPr>
        <w:t>Отчет о реализации Плана мероприятий («дорожной карты»)</w:t>
      </w:r>
    </w:p>
    <w:p w14:paraId="CE030000">
      <w:pPr>
        <w:ind/>
        <w:jc w:val="center"/>
        <w:rPr>
          <w:rFonts w:ascii="Times New Roman" w:hAnsi="Times New Roman"/>
          <w:sz w:val="28"/>
        </w:rPr>
      </w:pPr>
      <w:r>
        <w:rPr>
          <w:rFonts w:ascii="Times New Roman" w:hAnsi="Times New Roman"/>
          <w:sz w:val="28"/>
        </w:rPr>
        <w:t>по содействию развитию конкуренции в городе Волгодонске за 2021 год</w:t>
      </w:r>
    </w:p>
    <w:p w14:paraId="CF030000">
      <w:pPr>
        <w:rPr>
          <w:rFonts w:ascii="Times New Roman" w:hAnsi="Times New Roman"/>
          <w:sz w:val="28"/>
        </w:rPr>
      </w:pPr>
    </w:p>
    <w:tbl>
      <w:tblPr>
        <w:tblStyle w:val="Style_4"/>
        <w:tblInd w:type="dxa" w:w="95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05"/>
        <w:gridCol w:w="4409"/>
        <w:gridCol w:w="93"/>
        <w:gridCol w:w="238"/>
        <w:gridCol w:w="3221"/>
        <w:gridCol w:w="449"/>
        <w:gridCol w:w="1314"/>
        <w:gridCol w:w="699"/>
        <w:gridCol w:w="138"/>
        <w:gridCol w:w="140"/>
        <w:gridCol w:w="140"/>
        <w:gridCol w:w="249"/>
        <w:gridCol w:w="591"/>
        <w:gridCol w:w="279"/>
        <w:gridCol w:w="140"/>
        <w:gridCol w:w="139"/>
        <w:gridCol w:w="140"/>
        <w:gridCol w:w="258"/>
        <w:gridCol w:w="1141"/>
      </w:tblGrid>
      <w:tr>
        <w:tc>
          <w:tcPr>
            <w:tcW w:type="dxa" w:w="905"/>
            <w:tcBorders>
              <w:top w:color="000000" w:sz="4" w:val="single"/>
              <w:left w:color="000000" w:sz="4" w:val="single"/>
              <w:bottom w:color="000000" w:sz="4" w:val="single"/>
              <w:right w:color="000000" w:sz="4" w:val="single"/>
            </w:tcBorders>
          </w:tcPr>
          <w:p w14:paraId="D0030000">
            <w:pPr>
              <w:ind/>
              <w:jc w:val="center"/>
              <w:rPr>
                <w:rFonts w:ascii="Times New Roman" w:hAnsi="Times New Roman"/>
                <w:sz w:val="28"/>
              </w:rPr>
            </w:pPr>
            <w:r>
              <w:rPr>
                <w:rFonts w:ascii="Times New Roman" w:hAnsi="Times New Roman"/>
                <w:sz w:val="28"/>
              </w:rPr>
              <w:t xml:space="preserve">№ </w:t>
            </w:r>
          </w:p>
          <w:p w14:paraId="D1030000">
            <w:pPr>
              <w:ind/>
              <w:jc w:val="center"/>
              <w:rPr>
                <w:rFonts w:ascii="Times New Roman" w:hAnsi="Times New Roman"/>
                <w:sz w:val="28"/>
              </w:rPr>
            </w:pPr>
            <w:r>
              <w:rPr>
                <w:rFonts w:ascii="Times New Roman" w:hAnsi="Times New Roman"/>
                <w:sz w:val="28"/>
              </w:rPr>
              <w:t>п/п</w:t>
            </w:r>
          </w:p>
        </w:tc>
        <w:tc>
          <w:tcPr>
            <w:tcW w:type="dxa" w:w="4409"/>
            <w:tcBorders>
              <w:top w:color="000000" w:sz="4" w:val="single"/>
              <w:left w:color="000000" w:sz="4" w:val="single"/>
              <w:bottom w:color="000000" w:sz="4" w:val="single"/>
              <w:right w:color="000000" w:sz="4" w:val="single"/>
            </w:tcBorders>
          </w:tcPr>
          <w:p w14:paraId="D2030000">
            <w:pPr>
              <w:ind/>
              <w:jc w:val="center"/>
              <w:rPr>
                <w:rFonts w:ascii="Times New Roman" w:hAnsi="Times New Roman"/>
                <w:sz w:val="28"/>
              </w:rPr>
            </w:pPr>
            <w:r>
              <w:rPr>
                <w:rFonts w:ascii="Times New Roman" w:hAnsi="Times New Roman"/>
                <w:sz w:val="28"/>
              </w:rPr>
              <w:t xml:space="preserve">Наименование </w:t>
            </w:r>
          </w:p>
          <w:p w14:paraId="D3030000">
            <w:pPr>
              <w:ind/>
              <w:jc w:val="center"/>
              <w:rPr>
                <w:rFonts w:ascii="Times New Roman" w:hAnsi="Times New Roman"/>
                <w:sz w:val="28"/>
              </w:rPr>
            </w:pPr>
            <w:r>
              <w:rPr>
                <w:rFonts w:ascii="Times New Roman" w:hAnsi="Times New Roman"/>
                <w:sz w:val="28"/>
              </w:rPr>
              <w:t>мероприятия</w:t>
            </w:r>
          </w:p>
        </w:tc>
        <w:tc>
          <w:tcPr>
            <w:tcW w:type="dxa" w:w="4000"/>
            <w:gridSpan w:val="4"/>
            <w:tcBorders>
              <w:top w:color="000000" w:sz="4" w:val="single"/>
              <w:left w:color="000000" w:sz="4" w:val="single"/>
              <w:bottom w:color="000000" w:sz="4" w:val="single"/>
              <w:right w:color="000000" w:sz="4" w:val="single"/>
            </w:tcBorders>
          </w:tcPr>
          <w:p w14:paraId="D4030000">
            <w:pPr>
              <w:ind/>
              <w:jc w:val="center"/>
              <w:rPr>
                <w:rFonts w:ascii="Times New Roman" w:hAnsi="Times New Roman"/>
                <w:sz w:val="28"/>
              </w:rPr>
            </w:pPr>
            <w:r>
              <w:rPr>
                <w:rFonts w:ascii="Times New Roman" w:hAnsi="Times New Roman"/>
                <w:sz w:val="28"/>
              </w:rPr>
              <w:t>Ключевое событие / результат реализации</w:t>
            </w:r>
          </w:p>
        </w:tc>
        <w:tc>
          <w:tcPr>
            <w:tcW w:type="dxa" w:w="2680"/>
            <w:gridSpan w:val="6"/>
            <w:tcBorders>
              <w:top w:color="000000" w:sz="4" w:val="single"/>
              <w:left w:color="000000" w:sz="4" w:val="single"/>
              <w:bottom w:color="000000" w:sz="4" w:val="single"/>
              <w:right w:color="000000" w:sz="4" w:val="single"/>
            </w:tcBorders>
          </w:tcPr>
          <w:p w14:paraId="D5030000">
            <w:pPr>
              <w:ind/>
              <w:jc w:val="center"/>
              <w:rPr>
                <w:rFonts w:ascii="Times New Roman" w:hAnsi="Times New Roman"/>
                <w:sz w:val="28"/>
              </w:rPr>
            </w:pPr>
            <w:r>
              <w:rPr>
                <w:rFonts w:ascii="Times New Roman" w:hAnsi="Times New Roman"/>
                <w:sz w:val="28"/>
              </w:rPr>
              <w:t>Ответственный исполнитель</w:t>
            </w:r>
          </w:p>
        </w:tc>
        <w:tc>
          <w:tcPr>
            <w:tcW w:type="dxa" w:w="1548"/>
            <w:gridSpan w:val="6"/>
            <w:tcBorders>
              <w:top w:color="000000" w:sz="4" w:val="single"/>
              <w:left w:color="000000" w:sz="4" w:val="single"/>
              <w:bottom w:color="000000" w:sz="4" w:val="single"/>
              <w:right w:color="000000" w:sz="4" w:val="single"/>
            </w:tcBorders>
          </w:tcPr>
          <w:p w14:paraId="D6030000">
            <w:pPr>
              <w:ind/>
              <w:jc w:val="center"/>
              <w:rPr>
                <w:rFonts w:ascii="Times New Roman" w:hAnsi="Times New Roman"/>
                <w:sz w:val="28"/>
              </w:rPr>
            </w:pPr>
            <w:r>
              <w:rPr>
                <w:rFonts w:ascii="Times New Roman" w:hAnsi="Times New Roman"/>
                <w:sz w:val="28"/>
              </w:rPr>
              <w:t xml:space="preserve">Срок </w:t>
            </w:r>
          </w:p>
          <w:p w14:paraId="D7030000">
            <w:pPr>
              <w:ind/>
              <w:jc w:val="center"/>
              <w:rPr>
                <w:rFonts w:ascii="Times New Roman" w:hAnsi="Times New Roman"/>
                <w:sz w:val="28"/>
              </w:rPr>
            </w:pPr>
            <w:r>
              <w:rPr>
                <w:rFonts w:ascii="Times New Roman" w:hAnsi="Times New Roman"/>
                <w:sz w:val="28"/>
              </w:rPr>
              <w:t>исполнения</w:t>
            </w:r>
          </w:p>
        </w:tc>
        <w:tc>
          <w:tcPr>
            <w:tcW w:type="dxa" w:w="1141"/>
            <w:tcBorders>
              <w:top w:color="000000" w:sz="4" w:val="single"/>
              <w:left w:color="000000" w:sz="4" w:val="single"/>
              <w:bottom w:color="000000" w:sz="4" w:val="single"/>
              <w:right w:color="000000" w:sz="4" w:val="single"/>
            </w:tcBorders>
          </w:tcPr>
          <w:p w14:paraId="D8030000">
            <w:pPr>
              <w:ind w:right="35"/>
              <w:jc w:val="center"/>
              <w:rPr>
                <w:rFonts w:ascii="Times New Roman" w:hAnsi="Times New Roman"/>
                <w:sz w:val="28"/>
              </w:rPr>
            </w:pPr>
            <w:r>
              <w:rPr>
                <w:rFonts w:ascii="Times New Roman" w:hAnsi="Times New Roman"/>
                <w:sz w:val="28"/>
              </w:rPr>
              <w:t>Информация об исполнении мероприятия</w:t>
            </w:r>
          </w:p>
        </w:tc>
      </w:tr>
      <w:tr>
        <w:tc>
          <w:tcPr>
            <w:tcW w:type="dxa" w:w="905"/>
            <w:tcBorders>
              <w:top w:color="000000" w:sz="4" w:val="single"/>
              <w:left w:color="000000" w:sz="4" w:val="single"/>
              <w:bottom w:color="000000" w:sz="4" w:val="single"/>
              <w:right w:color="000000" w:sz="4" w:val="single"/>
            </w:tcBorders>
            <w:shd w:fill="FFFFFF" w:val="clear"/>
          </w:tcPr>
          <w:p w14:paraId="D9030000">
            <w:pPr>
              <w:ind/>
              <w:jc w:val="center"/>
              <w:rPr>
                <w:rFonts w:ascii="Times New Roman" w:hAnsi="Times New Roman"/>
                <w:sz w:val="28"/>
              </w:rPr>
            </w:pPr>
            <w:r>
              <w:rPr>
                <w:rFonts w:ascii="Times New Roman" w:hAnsi="Times New Roman"/>
                <w:sz w:val="28"/>
              </w:rPr>
              <w:t>1</w:t>
            </w:r>
          </w:p>
        </w:tc>
        <w:tc>
          <w:tcPr>
            <w:tcW w:type="dxa" w:w="4409"/>
            <w:tcBorders>
              <w:top w:color="000000" w:sz="4" w:val="single"/>
              <w:left w:color="000000" w:sz="4" w:val="single"/>
              <w:bottom w:color="000000" w:sz="4" w:val="single"/>
              <w:right w:color="000000" w:sz="4" w:val="single"/>
            </w:tcBorders>
            <w:shd w:fill="FFFFFF" w:val="clear"/>
          </w:tcPr>
          <w:p w14:paraId="DA030000">
            <w:pPr>
              <w:ind/>
              <w:jc w:val="center"/>
              <w:rPr>
                <w:rFonts w:ascii="Times New Roman" w:hAnsi="Times New Roman"/>
                <w:sz w:val="28"/>
              </w:rPr>
            </w:pPr>
            <w:r>
              <w:rPr>
                <w:rFonts w:ascii="Times New Roman" w:hAnsi="Times New Roman"/>
                <w:sz w:val="28"/>
              </w:rPr>
              <w:t>2</w:t>
            </w:r>
          </w:p>
        </w:tc>
        <w:tc>
          <w:tcPr>
            <w:tcW w:type="dxa" w:w="4000"/>
            <w:gridSpan w:val="4"/>
            <w:tcBorders>
              <w:top w:color="000000" w:sz="4" w:val="single"/>
              <w:left w:color="000000" w:sz="4" w:val="single"/>
              <w:bottom w:color="000000" w:sz="4" w:val="single"/>
              <w:right w:color="000000" w:sz="4" w:val="single"/>
            </w:tcBorders>
            <w:shd w:fill="FFFFFF" w:val="clear"/>
          </w:tcPr>
          <w:p w14:paraId="DB030000">
            <w:pPr>
              <w:ind/>
              <w:jc w:val="center"/>
              <w:rPr>
                <w:rFonts w:ascii="Times New Roman" w:hAnsi="Times New Roman"/>
                <w:sz w:val="28"/>
              </w:rPr>
            </w:pPr>
            <w:r>
              <w:rPr>
                <w:rFonts w:ascii="Times New Roman" w:hAnsi="Times New Roman"/>
                <w:sz w:val="28"/>
              </w:rPr>
              <w:t>3</w:t>
            </w:r>
          </w:p>
        </w:tc>
        <w:tc>
          <w:tcPr>
            <w:tcW w:type="dxa" w:w="2680"/>
            <w:gridSpan w:val="6"/>
            <w:tcBorders>
              <w:top w:color="000000" w:sz="4" w:val="single"/>
              <w:left w:color="000000" w:sz="4" w:val="single"/>
              <w:bottom w:color="000000" w:sz="4" w:val="single"/>
              <w:right w:color="000000" w:sz="4" w:val="single"/>
            </w:tcBorders>
            <w:shd w:fill="FFFFFF" w:val="clear"/>
          </w:tcPr>
          <w:p w14:paraId="DC030000">
            <w:pPr>
              <w:ind/>
              <w:jc w:val="center"/>
              <w:rPr>
                <w:rFonts w:ascii="Times New Roman" w:hAnsi="Times New Roman"/>
                <w:sz w:val="28"/>
              </w:rPr>
            </w:pPr>
            <w:r>
              <w:rPr>
                <w:rFonts w:ascii="Times New Roman" w:hAnsi="Times New Roman"/>
                <w:sz w:val="28"/>
              </w:rPr>
              <w:t>4</w:t>
            </w:r>
          </w:p>
        </w:tc>
        <w:tc>
          <w:tcPr>
            <w:tcW w:type="dxa" w:w="1548"/>
            <w:gridSpan w:val="6"/>
            <w:tcBorders>
              <w:top w:color="000000" w:sz="4" w:val="single"/>
              <w:left w:color="000000" w:sz="4" w:val="single"/>
              <w:bottom w:color="000000" w:sz="4" w:val="single"/>
              <w:right w:color="000000" w:sz="4" w:val="single"/>
            </w:tcBorders>
            <w:shd w:fill="FFFFFF" w:val="clear"/>
          </w:tcPr>
          <w:p w14:paraId="DD030000">
            <w:pPr>
              <w:ind/>
              <w:jc w:val="center"/>
              <w:rPr>
                <w:rFonts w:ascii="Times New Roman" w:hAnsi="Times New Roman"/>
                <w:sz w:val="28"/>
              </w:rPr>
            </w:pPr>
            <w:r>
              <w:rPr>
                <w:rFonts w:ascii="Times New Roman" w:hAnsi="Times New Roman"/>
                <w:sz w:val="28"/>
              </w:rPr>
              <w:t>5</w:t>
            </w:r>
          </w:p>
        </w:tc>
        <w:tc>
          <w:tcPr>
            <w:tcW w:type="dxa" w:w="1141"/>
            <w:tcBorders>
              <w:top w:color="000000" w:sz="4" w:val="single"/>
              <w:left w:color="000000" w:sz="4" w:val="single"/>
              <w:bottom w:color="000000" w:sz="4" w:val="single"/>
              <w:right w:color="000000" w:sz="4" w:val="single"/>
            </w:tcBorders>
            <w:shd w:fill="FFFFFF" w:val="clear"/>
          </w:tcPr>
          <w:p w14:paraId="DE030000">
            <w:pPr>
              <w:ind/>
              <w:jc w:val="center"/>
              <w:rPr>
                <w:rFonts w:ascii="Times New Roman" w:hAnsi="Times New Roman"/>
                <w:sz w:val="28"/>
              </w:rPr>
            </w:pPr>
          </w:p>
        </w:tc>
      </w:tr>
      <w:tr>
        <w:trPr>
          <w:trHeight w:hRule="atLeast" w:val="861"/>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DF030000">
            <w:pPr>
              <w:tabs>
                <w:tab w:leader="none" w:pos="0" w:val="left"/>
              </w:tabs>
              <w:ind/>
              <w:contextualSpacing w:val="1"/>
              <w:jc w:val="center"/>
              <w:rPr>
                <w:rFonts w:ascii="Times New Roman" w:hAnsi="Times New Roman"/>
                <w:b w:val="1"/>
                <w:sz w:val="28"/>
              </w:rPr>
            </w:pPr>
            <w:r>
              <w:rPr>
                <w:rFonts w:ascii="Times New Roman" w:hAnsi="Times New Roman"/>
                <w:b w:val="1"/>
                <w:sz w:val="28"/>
              </w:rPr>
              <w:t>1. Мероприятия, направленные на содействие развитию конкуренции на товарных рынках в г. Волгодонске</w:t>
            </w:r>
          </w:p>
        </w:tc>
      </w:tr>
      <w:tr>
        <w:trPr>
          <w:trHeight w:hRule="atLeast" w:val="715"/>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E0030000">
            <w:pPr>
              <w:ind/>
              <w:jc w:val="center"/>
              <w:rPr>
                <w:rFonts w:ascii="Times New Roman" w:hAnsi="Times New Roman"/>
                <w:b w:val="1"/>
                <w:sz w:val="28"/>
              </w:rPr>
            </w:pPr>
            <w:r>
              <w:rPr>
                <w:rFonts w:ascii="Times New Roman" w:hAnsi="Times New Roman"/>
                <w:b w:val="1"/>
                <w:sz w:val="28"/>
              </w:rPr>
              <w:t>1.1 Рынок медицинских услуг</w:t>
            </w:r>
          </w:p>
        </w:tc>
      </w:tr>
      <w:tr>
        <w:tc>
          <w:tcPr>
            <w:tcW w:type="dxa" w:w="14683"/>
            <w:gridSpan w:val="19"/>
            <w:tcBorders>
              <w:top w:color="000000" w:sz="4" w:val="single"/>
              <w:left w:color="000000" w:sz="4" w:val="single"/>
              <w:bottom w:color="000000" w:sz="4" w:val="single"/>
              <w:right w:color="000000" w:sz="4" w:val="single"/>
            </w:tcBorders>
            <w:shd w:fill="FFFFFF" w:val="clear"/>
          </w:tcPr>
          <w:p w14:paraId="E1030000">
            <w:pPr>
              <w:ind w:firstLine="709" w:left="0"/>
              <w:jc w:val="both"/>
              <w:rPr>
                <w:rFonts w:ascii="Times New Roman" w:hAnsi="Times New Roman"/>
                <w:sz w:val="28"/>
              </w:rPr>
            </w:pPr>
            <w:r>
              <w:rPr>
                <w:rFonts w:ascii="Times New Roman" w:hAnsi="Times New Roman"/>
                <w:sz w:val="28"/>
              </w:rPr>
              <w:t xml:space="preserve">Конкуренция на рынке медицинских услуг играет значительную роль в повышении эффективности здравоохранения, росте качества предоставляемых услуг, как в государственном секторе, так и частной системе здравоохранения.  </w:t>
            </w:r>
          </w:p>
          <w:p w14:paraId="E2030000">
            <w:pPr>
              <w:ind w:firstLine="709" w:left="0"/>
              <w:jc w:val="both"/>
              <w:rPr>
                <w:rFonts w:ascii="Times New Roman" w:hAnsi="Times New Roman"/>
                <w:sz w:val="28"/>
              </w:rPr>
            </w:pPr>
            <w:r>
              <w:rPr>
                <w:rFonts w:ascii="Times New Roman" w:hAnsi="Times New Roman"/>
                <w:sz w:val="28"/>
              </w:rPr>
              <w:t>Создание условий конкуренции на рынке медицинских услуг, включение механизма соперничества между медицинскими организациями в использовании высоких технологий, внедрении новых медицинских продуктов и услуг, развитии технических направлений в лабораторной и аппаратной диагностике позволят решить задачи, стоящие перед отечественным здравоохранением по улучшению показателей здоровья населения.</w:t>
            </w:r>
          </w:p>
          <w:p w14:paraId="E3030000">
            <w:pPr>
              <w:ind w:firstLine="709" w:left="0"/>
              <w:jc w:val="both"/>
              <w:rPr>
                <w:rFonts w:ascii="Times New Roman" w:hAnsi="Times New Roman"/>
                <w:sz w:val="28"/>
              </w:rPr>
            </w:pPr>
            <w:r>
              <w:rPr>
                <w:rFonts w:ascii="Times New Roman" w:hAnsi="Times New Roman"/>
                <w:sz w:val="28"/>
              </w:rPr>
              <w:t>В городе Волгодонске отмечается тенденция к росту числа негосударственных организаций в сфере здравоохранения, осуществляют деятельность более 40 негосударственных медицинских организаций.</w:t>
            </w:r>
          </w:p>
          <w:p w14:paraId="E4030000">
            <w:pPr>
              <w:ind w:firstLine="709" w:left="0"/>
              <w:jc w:val="both"/>
              <w:rPr>
                <w:rFonts w:ascii="Times New Roman" w:hAnsi="Times New Roman"/>
                <w:sz w:val="28"/>
              </w:rPr>
            </w:pPr>
            <w:r>
              <w:rPr>
                <w:rFonts w:ascii="Times New Roman" w:hAnsi="Times New Roman"/>
                <w:sz w:val="28"/>
              </w:rPr>
              <w:t>В 2021 году Управление здравоохранения не согласовывало включение негосударственных медицинских организаций в территориальную программу обязательного медицинского страхования Ростовской области на территории г. Волгодонска. В 2021 году в связи с отсутствием заявлений, негосударственные медицинские организации, оказывающие медицинские услуги населению в городе Волгодонске в территориальную программу обязательного медицинского страхования включены не были. Деятельность в рамках территориальной программы обязательного медицинского страхования Ростовской области на территории г. Волгодонска осуществляет только ООО «ЦМГ «Сокол».</w:t>
            </w:r>
          </w:p>
        </w:tc>
      </w:tr>
      <w:tr>
        <w:tc>
          <w:tcPr>
            <w:tcW w:type="dxa" w:w="905"/>
            <w:tcBorders>
              <w:top w:color="000000" w:sz="4" w:val="single"/>
              <w:left w:color="000000" w:sz="4" w:val="single"/>
              <w:bottom w:color="000000" w:sz="4" w:val="single"/>
              <w:right w:color="000000" w:sz="4" w:val="single"/>
            </w:tcBorders>
            <w:shd w:fill="FFFFFF" w:val="clear"/>
          </w:tcPr>
          <w:p w14:paraId="E5030000">
            <w:pPr>
              <w:ind/>
              <w:jc w:val="center"/>
              <w:rPr>
                <w:rFonts w:ascii="Times New Roman" w:hAnsi="Times New Roman"/>
                <w:sz w:val="28"/>
              </w:rPr>
            </w:pPr>
            <w:r>
              <w:rPr>
                <w:rFonts w:ascii="Times New Roman" w:hAnsi="Times New Roman"/>
                <w:sz w:val="28"/>
              </w:rPr>
              <w:t>1.1.1.</w:t>
            </w:r>
          </w:p>
        </w:tc>
        <w:tc>
          <w:tcPr>
            <w:tcW w:type="dxa" w:w="4740"/>
            <w:gridSpan w:val="3"/>
            <w:tcBorders>
              <w:top w:color="000000" w:sz="4" w:val="single"/>
              <w:left w:color="000000" w:sz="4" w:val="single"/>
              <w:bottom w:color="000000" w:sz="4" w:val="single"/>
              <w:right w:color="000000" w:sz="4" w:val="single"/>
            </w:tcBorders>
            <w:shd w:fill="FFFFFF" w:val="clear"/>
          </w:tcPr>
          <w:p w14:paraId="E6030000">
            <w:pPr>
              <w:rPr>
                <w:rFonts w:ascii="Times New Roman" w:hAnsi="Times New Roman"/>
                <w:i w:val="1"/>
                <w:sz w:val="28"/>
              </w:rPr>
            </w:pPr>
            <w:r>
              <w:rPr>
                <w:rFonts w:ascii="Times New Roman" w:hAnsi="Times New Roman"/>
                <w:sz w:val="28"/>
              </w:rPr>
              <w:t>Информирование о возможности доступа негосударственных медицинских организаций к участию в реализации территориальной программы обязательного медицинского страхования Ростовской области</w:t>
            </w:r>
          </w:p>
        </w:tc>
        <w:tc>
          <w:tcPr>
            <w:tcW w:type="dxa" w:w="3670"/>
            <w:gridSpan w:val="2"/>
            <w:tcBorders>
              <w:top w:color="000000" w:sz="4" w:val="single"/>
              <w:left w:color="000000" w:sz="4" w:val="single"/>
              <w:bottom w:color="000000" w:sz="4" w:val="single"/>
              <w:right w:color="000000" w:sz="4" w:val="single"/>
            </w:tcBorders>
            <w:shd w:fill="FFFFFF" w:val="clear"/>
          </w:tcPr>
          <w:p w14:paraId="E7030000">
            <w:pPr>
              <w:rPr>
                <w:rFonts w:ascii="Times New Roman" w:hAnsi="Times New Roman"/>
                <w:sz w:val="28"/>
              </w:rPr>
            </w:pPr>
            <w:r>
              <w:rPr>
                <w:rFonts w:ascii="Times New Roman" w:hAnsi="Times New Roman"/>
                <w:sz w:val="28"/>
              </w:rPr>
              <w:t>повышение доступности негосударственных организаций здравоохранения к участию в программе ОМС</w:t>
            </w:r>
          </w:p>
        </w:tc>
        <w:tc>
          <w:tcPr>
            <w:tcW w:type="dxa" w:w="2680"/>
            <w:gridSpan w:val="6"/>
            <w:tcBorders>
              <w:top w:color="000000" w:sz="4" w:val="single"/>
              <w:left w:color="000000" w:sz="4" w:val="single"/>
              <w:bottom w:color="000000" w:sz="4" w:val="single"/>
              <w:right w:color="000000" w:sz="4" w:val="single"/>
            </w:tcBorders>
            <w:shd w:fill="FFFFFF" w:val="clear"/>
          </w:tcPr>
          <w:p w14:paraId="E8030000">
            <w:pPr>
              <w:rPr>
                <w:rFonts w:ascii="Times New Roman" w:hAnsi="Times New Roman"/>
                <w:sz w:val="28"/>
              </w:rPr>
            </w:pPr>
            <w:r>
              <w:rPr>
                <w:rFonts w:ascii="Times New Roman" w:hAnsi="Times New Roman"/>
                <w:sz w:val="28"/>
              </w:rPr>
              <w:t>Управление здравоохранения г. Волгодонска</w:t>
            </w:r>
          </w:p>
        </w:tc>
        <w:tc>
          <w:tcPr>
            <w:tcW w:type="dxa" w:w="1548"/>
            <w:gridSpan w:val="6"/>
            <w:tcBorders>
              <w:top w:color="000000" w:sz="4" w:val="single"/>
              <w:left w:color="000000" w:sz="4" w:val="single"/>
              <w:bottom w:color="000000" w:sz="4" w:val="single"/>
              <w:right w:color="000000" w:sz="4" w:val="single"/>
            </w:tcBorders>
            <w:shd w:fill="FFFFFF" w:val="clear"/>
          </w:tcPr>
          <w:p w14:paraId="E9030000">
            <w:pPr>
              <w:ind/>
              <w:jc w:val="center"/>
              <w:rPr>
                <w:rFonts w:ascii="Times New Roman" w:hAnsi="Times New Roman"/>
                <w:sz w:val="28"/>
              </w:rPr>
            </w:pPr>
            <w:r>
              <w:rPr>
                <w:rFonts w:ascii="Times New Roman" w:hAnsi="Times New Roman"/>
                <w:sz w:val="28"/>
              </w:rPr>
              <w:t>весь период</w:t>
            </w:r>
          </w:p>
        </w:tc>
        <w:tc>
          <w:tcPr>
            <w:tcW w:type="dxa" w:w="1141"/>
            <w:tcBorders>
              <w:top w:color="000000" w:sz="4" w:val="single"/>
              <w:left w:color="000000" w:sz="4" w:val="single"/>
              <w:bottom w:color="000000" w:sz="4" w:val="single"/>
              <w:right w:color="000000" w:sz="4" w:val="single"/>
            </w:tcBorders>
            <w:shd w:fill="FFFFFF" w:val="clear"/>
          </w:tcPr>
          <w:p w14:paraId="EA030000">
            <w:pPr>
              <w:rPr>
                <w:rFonts w:ascii="Times New Roman" w:hAnsi="Times New Roman"/>
                <w:sz w:val="28"/>
              </w:rPr>
            </w:pPr>
            <w:r>
              <w:rPr>
                <w:rFonts w:ascii="Times New Roman" w:hAnsi="Times New Roman"/>
                <w:sz w:val="28"/>
              </w:rPr>
              <w:t>Все негосударственные медицинские организации проинформированы об участии в территориальной программе обязательного медицинского страхования Ростовской области</w:t>
            </w:r>
          </w:p>
        </w:tc>
      </w:tr>
      <w:tr>
        <w:tc>
          <w:tcPr>
            <w:tcW w:type="dxa" w:w="905"/>
            <w:tcBorders>
              <w:top w:color="000000" w:sz="4" w:val="single"/>
              <w:left w:color="000000" w:sz="4" w:val="single"/>
              <w:bottom w:color="000000" w:sz="4" w:val="single"/>
              <w:right w:color="000000" w:sz="4" w:val="single"/>
            </w:tcBorders>
            <w:shd w:fill="FFFFFF" w:val="clear"/>
          </w:tcPr>
          <w:p w14:paraId="EB030000">
            <w:pPr>
              <w:ind/>
              <w:jc w:val="center"/>
              <w:rPr>
                <w:rFonts w:ascii="Times New Roman" w:hAnsi="Times New Roman"/>
                <w:sz w:val="28"/>
              </w:rPr>
            </w:pPr>
            <w:r>
              <w:rPr>
                <w:rFonts w:ascii="Times New Roman" w:hAnsi="Times New Roman"/>
                <w:sz w:val="28"/>
              </w:rPr>
              <w:t>1.1.2.</w:t>
            </w:r>
          </w:p>
        </w:tc>
        <w:tc>
          <w:tcPr>
            <w:tcW w:type="dxa" w:w="4740"/>
            <w:gridSpan w:val="3"/>
            <w:tcBorders>
              <w:top w:color="000000" w:sz="4" w:val="single"/>
              <w:left w:color="000000" w:sz="4" w:val="single"/>
              <w:bottom w:color="000000" w:sz="4" w:val="single"/>
              <w:right w:color="000000" w:sz="4" w:val="single"/>
            </w:tcBorders>
            <w:shd w:fill="FFFFFF" w:val="clear"/>
          </w:tcPr>
          <w:p w14:paraId="EC030000">
            <w:pPr>
              <w:ind/>
              <w:contextualSpacing w:val="1"/>
              <w:rPr>
                <w:rFonts w:ascii="Times New Roman" w:hAnsi="Times New Roman"/>
                <w:i w:val="1"/>
                <w:sz w:val="28"/>
              </w:rPr>
            </w:pPr>
            <w:r>
              <w:rPr>
                <w:rFonts w:ascii="Times New Roman" w:hAnsi="Times New Roman"/>
                <w:sz w:val="28"/>
              </w:rPr>
              <w:t>Предоставление консультационной помощи по вопросам лицензирования негосударственным медицинским организациям</w:t>
            </w:r>
          </w:p>
        </w:tc>
        <w:tc>
          <w:tcPr>
            <w:tcW w:type="dxa" w:w="3670"/>
            <w:gridSpan w:val="2"/>
            <w:tcBorders>
              <w:top w:color="000000" w:sz="4" w:val="single"/>
              <w:left w:color="000000" w:sz="4" w:val="single"/>
              <w:bottom w:color="000000" w:sz="4" w:val="single"/>
              <w:right w:color="000000" w:sz="4" w:val="single"/>
            </w:tcBorders>
            <w:shd w:fill="FFFFFF" w:val="clear"/>
          </w:tcPr>
          <w:p w14:paraId="ED030000">
            <w:pPr>
              <w:rPr>
                <w:rFonts w:ascii="Times New Roman" w:hAnsi="Times New Roman"/>
                <w:sz w:val="28"/>
              </w:rPr>
            </w:pPr>
            <w:r>
              <w:rPr>
                <w:rFonts w:ascii="Times New Roman" w:hAnsi="Times New Roman"/>
                <w:sz w:val="28"/>
              </w:rPr>
              <w:t xml:space="preserve">увеличение количества негосударственных учреждений здравоохранения, получивших лицензию  </w:t>
            </w:r>
          </w:p>
        </w:tc>
        <w:tc>
          <w:tcPr>
            <w:tcW w:type="dxa" w:w="2680"/>
            <w:gridSpan w:val="6"/>
            <w:tcBorders>
              <w:top w:color="000000" w:sz="4" w:val="single"/>
              <w:left w:color="000000" w:sz="4" w:val="single"/>
              <w:bottom w:color="000000" w:sz="4" w:val="single"/>
              <w:right w:color="000000" w:sz="4" w:val="single"/>
            </w:tcBorders>
            <w:shd w:fill="FFFFFF" w:val="clear"/>
          </w:tcPr>
          <w:p w14:paraId="EE030000">
            <w:pPr>
              <w:rPr>
                <w:rFonts w:ascii="Times New Roman" w:hAnsi="Times New Roman"/>
                <w:sz w:val="28"/>
              </w:rPr>
            </w:pPr>
            <w:r>
              <w:rPr>
                <w:rFonts w:ascii="Times New Roman" w:hAnsi="Times New Roman"/>
                <w:sz w:val="28"/>
              </w:rPr>
              <w:t>Управление здравоохранения г. Волгодонска</w:t>
            </w:r>
          </w:p>
        </w:tc>
        <w:tc>
          <w:tcPr>
            <w:tcW w:type="dxa" w:w="1548"/>
            <w:gridSpan w:val="6"/>
            <w:tcBorders>
              <w:top w:color="000000" w:sz="4" w:val="single"/>
              <w:left w:color="000000" w:sz="4" w:val="single"/>
              <w:bottom w:color="000000" w:sz="4" w:val="single"/>
              <w:right w:color="000000" w:sz="4" w:val="single"/>
            </w:tcBorders>
            <w:shd w:fill="FFFFFF" w:val="clear"/>
          </w:tcPr>
          <w:p w14:paraId="EF030000">
            <w:pPr>
              <w:ind/>
              <w:jc w:val="center"/>
              <w:rPr>
                <w:rFonts w:ascii="Times New Roman" w:hAnsi="Times New Roman"/>
                <w:sz w:val="28"/>
              </w:rPr>
            </w:pPr>
            <w:r>
              <w:rPr>
                <w:rFonts w:ascii="Times New Roman" w:hAnsi="Times New Roman"/>
                <w:sz w:val="28"/>
              </w:rPr>
              <w:t>весь период</w:t>
            </w:r>
          </w:p>
        </w:tc>
        <w:tc>
          <w:tcPr>
            <w:tcW w:type="dxa" w:w="1141"/>
            <w:tcBorders>
              <w:top w:color="000000" w:sz="4" w:val="single"/>
              <w:left w:color="000000" w:sz="4" w:val="single"/>
              <w:bottom w:color="000000" w:sz="4" w:val="single"/>
              <w:right w:color="000000" w:sz="4" w:val="single"/>
            </w:tcBorders>
            <w:shd w:fill="FFFFFF" w:val="clear"/>
          </w:tcPr>
          <w:p w14:paraId="F0030000">
            <w:pPr>
              <w:rPr>
                <w:rFonts w:ascii="Times New Roman" w:hAnsi="Times New Roman"/>
                <w:sz w:val="28"/>
              </w:rPr>
            </w:pPr>
            <w:r>
              <w:rPr>
                <w:rFonts w:ascii="Times New Roman" w:hAnsi="Times New Roman"/>
                <w:sz w:val="28"/>
              </w:rPr>
              <w:t>По вопросам лицензирования негосударственных медицинских организаций оказываются консультации, также информация предоставлена на сайте http://volgorzdrav.narod.ru/</w:t>
            </w:r>
          </w:p>
        </w:tc>
      </w:tr>
      <w:tr>
        <w:trPr>
          <w:trHeight w:hRule="atLeast" w:val="639"/>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F1030000">
            <w:pPr>
              <w:ind/>
              <w:jc w:val="center"/>
              <w:rPr>
                <w:rFonts w:ascii="Times New Roman" w:hAnsi="Times New Roman"/>
                <w:b w:val="1"/>
                <w:sz w:val="28"/>
              </w:rPr>
            </w:pPr>
            <w:r>
              <w:rPr>
                <w:rFonts w:ascii="Times New Roman" w:hAnsi="Times New Roman"/>
                <w:b w:val="1"/>
                <w:sz w:val="28"/>
              </w:rPr>
              <w:t>1.2 Рынок социальных услуг</w:t>
            </w:r>
          </w:p>
        </w:tc>
      </w:tr>
      <w:tr>
        <w:tc>
          <w:tcPr>
            <w:tcW w:type="dxa" w:w="14683"/>
            <w:gridSpan w:val="19"/>
            <w:tcBorders>
              <w:top w:color="000000" w:sz="4" w:val="single"/>
              <w:left w:color="000000" w:sz="4" w:val="single"/>
              <w:bottom w:color="000000" w:sz="4" w:val="single"/>
              <w:right w:color="000000" w:sz="4" w:val="single"/>
            </w:tcBorders>
            <w:shd w:fill="FFFFFF" w:val="clear"/>
          </w:tcPr>
          <w:p w14:paraId="F2030000">
            <w:pPr>
              <w:ind/>
              <w:jc w:val="both"/>
              <w:rPr>
                <w:rFonts w:ascii="Times New Roman" w:hAnsi="Times New Roman"/>
                <w:sz w:val="28"/>
              </w:rPr>
            </w:pPr>
            <w:r>
              <w:rPr>
                <w:rFonts w:ascii="Times New Roman" w:hAnsi="Times New Roman"/>
                <w:sz w:val="28"/>
              </w:rPr>
              <w:t>На территории города Волгодонска предоставляют услуги социального обслуживания МУ «Центр социального обслуживания граждан пожилого возраста и инвалидов г. Волгодонска № 1», автономная некоммерческая организация по предоставлению социальных услуг «Центр социального обслуживания населения «Милосердие» г. Волгодонска».</w:t>
            </w:r>
          </w:p>
          <w:p w14:paraId="F3030000">
            <w:pPr>
              <w:rPr>
                <w:rFonts w:ascii="Times New Roman" w:hAnsi="Times New Roman"/>
                <w:sz w:val="28"/>
              </w:rPr>
            </w:pPr>
            <w:r>
              <w:rPr>
                <w:rFonts w:ascii="Times New Roman" w:hAnsi="Times New Roman"/>
                <w:sz w:val="28"/>
              </w:rPr>
              <w:t>В структуре АНО функционируют:</w:t>
            </w:r>
          </w:p>
          <w:p w14:paraId="F4030000">
            <w:pPr>
              <w:rPr>
                <w:rFonts w:ascii="Times New Roman" w:hAnsi="Times New Roman"/>
                <w:sz w:val="28"/>
              </w:rPr>
            </w:pPr>
            <w:r>
              <w:rPr>
                <w:rFonts w:ascii="Times New Roman" w:hAnsi="Times New Roman"/>
                <w:sz w:val="28"/>
              </w:rPr>
              <w:t>- 3 отделения социального обслуживания на дому;</w:t>
            </w:r>
          </w:p>
          <w:p w14:paraId="F5030000">
            <w:pPr>
              <w:rPr>
                <w:rFonts w:ascii="Times New Roman" w:hAnsi="Times New Roman"/>
                <w:sz w:val="28"/>
              </w:rPr>
            </w:pPr>
            <w:r>
              <w:rPr>
                <w:rFonts w:ascii="Times New Roman" w:hAnsi="Times New Roman"/>
                <w:sz w:val="28"/>
              </w:rPr>
              <w:t>- 1 специализированное отделение социально-медицинского обслуживания.</w:t>
            </w:r>
          </w:p>
          <w:p w14:paraId="F6030000">
            <w:pPr>
              <w:ind w:right="142"/>
              <w:jc w:val="both"/>
              <w:rPr>
                <w:rFonts w:ascii="Times New Roman" w:hAnsi="Times New Roman"/>
                <w:sz w:val="28"/>
              </w:rPr>
            </w:pPr>
            <w:r>
              <w:rPr>
                <w:rFonts w:ascii="Times New Roman" w:hAnsi="Times New Roman"/>
                <w:b w:val="1"/>
                <w:sz w:val="28"/>
              </w:rPr>
              <w:t>1.2.2.</w:t>
            </w:r>
            <w:r>
              <w:rPr>
                <w:rFonts w:ascii="Times New Roman" w:hAnsi="Times New Roman"/>
                <w:sz w:val="28"/>
              </w:rPr>
              <w:t xml:space="preserve"> </w:t>
            </w:r>
            <w:r>
              <w:rPr>
                <w:rFonts w:ascii="Times New Roman" w:hAnsi="Times New Roman"/>
                <w:sz w:val="28"/>
              </w:rPr>
              <w:t>В целях расширения информационного поля о деятельности АНО «Милосердие» была проведена работа по размещению в СМИ и в сети Интернет как о системе предоставления социальных услуг населению города Волгодонска, так и о локальных событиях:                                В целях расширения</w:t>
            </w:r>
            <w:r>
              <w:rPr>
                <w:rFonts w:ascii="Times New Roman" w:hAnsi="Times New Roman"/>
                <w:b w:val="1"/>
                <w:sz w:val="28"/>
              </w:rPr>
              <w:t xml:space="preserve"> </w:t>
            </w:r>
            <w:r>
              <w:rPr>
                <w:rStyle w:val="Style_18_ch"/>
                <w:rFonts w:ascii="Times New Roman" w:hAnsi="Times New Roman"/>
                <w:sz w:val="28"/>
              </w:rPr>
              <w:t>информационного сопровождения деятельности</w:t>
            </w:r>
            <w:r>
              <w:rPr>
                <w:rFonts w:ascii="Times New Roman" w:hAnsi="Times New Roman"/>
                <w:sz w:val="28"/>
              </w:rPr>
              <w:t xml:space="preserve"> АНО «Милосердие»</w:t>
            </w:r>
            <w:r>
              <w:rPr>
                <w:rStyle w:val="Style_18_ch"/>
                <w:rFonts w:ascii="Times New Roman" w:hAnsi="Times New Roman"/>
                <w:sz w:val="28"/>
              </w:rPr>
              <w:t xml:space="preserve">, </w:t>
            </w:r>
            <w:r>
              <w:rPr>
                <w:rFonts w:ascii="Times New Roman" w:hAnsi="Times New Roman"/>
                <w:sz w:val="28"/>
              </w:rPr>
              <w:t xml:space="preserve">предоставления гражданам сведений разъяснительного, информационно-справочного характера </w:t>
            </w:r>
            <w:r>
              <w:rPr>
                <w:rFonts w:ascii="Times New Roman" w:hAnsi="Times New Roman"/>
                <w:sz w:val="28"/>
              </w:rPr>
              <w:t xml:space="preserve">через  </w:t>
            </w:r>
            <w:r>
              <w:rPr>
                <w:rFonts w:ascii="Times New Roman" w:hAnsi="Times New Roman"/>
                <w:sz w:val="28"/>
              </w:rPr>
              <w:t xml:space="preserve">интерактивные формы взаимодействия с </w:t>
            </w:r>
            <w:r>
              <w:rPr>
                <w:rFonts w:ascii="Times New Roman" w:hAnsi="Times New Roman"/>
                <w:sz w:val="28"/>
              </w:rPr>
              <w:t>пользователями сети Интернет</w:t>
            </w:r>
            <w:r>
              <w:rPr>
                <w:rFonts w:ascii="Times New Roman" w:hAnsi="Times New Roman"/>
                <w:sz w:val="28"/>
              </w:rPr>
              <w:t xml:space="preserve"> действует </w:t>
            </w:r>
            <w:r>
              <w:rPr>
                <w:rFonts w:ascii="Times New Roman" w:hAnsi="Times New Roman"/>
                <w:sz w:val="28"/>
              </w:rPr>
              <w:t>сайт (http://anomilocerdie.ru)</w:t>
            </w:r>
            <w:r>
              <w:rPr>
                <w:rFonts w:ascii="Times New Roman" w:hAnsi="Times New Roman"/>
                <w:sz w:val="28"/>
              </w:rPr>
              <w:t xml:space="preserve"> АНО «Милосердие»</w:t>
            </w:r>
            <w:r>
              <w:rPr>
                <w:rFonts w:ascii="Times New Roman" w:hAnsi="Times New Roman"/>
                <w:sz w:val="28"/>
              </w:rPr>
              <w:t>, который имеет удобную навигацию, охватывает все сферы деятельности АНО, постоянно обновляется и пополняется:</w:t>
            </w:r>
          </w:p>
          <w:p w14:paraId="F7030000">
            <w:pPr>
              <w:ind w:firstLine="468" w:left="176"/>
              <w:jc w:val="both"/>
              <w:rPr>
                <w:rFonts w:ascii="Times New Roman" w:hAnsi="Times New Roman"/>
                <w:sz w:val="28"/>
              </w:rPr>
            </w:pPr>
            <w:r>
              <w:rPr>
                <w:rFonts w:ascii="Times New Roman" w:hAnsi="Times New Roman"/>
                <w:sz w:val="28"/>
              </w:rPr>
              <w:t>-   в Новостной ленте  - опубликовано 20 статей;</w:t>
            </w:r>
          </w:p>
          <w:p w14:paraId="F8030000">
            <w:pPr>
              <w:ind w:firstLine="468" w:left="176" w:right="142"/>
              <w:jc w:val="both"/>
              <w:rPr>
                <w:rFonts w:ascii="Times New Roman" w:hAnsi="Times New Roman"/>
                <w:sz w:val="28"/>
              </w:rPr>
            </w:pPr>
            <w:r>
              <w:rPr>
                <w:rFonts w:ascii="Times New Roman" w:hAnsi="Times New Roman"/>
                <w:sz w:val="28"/>
              </w:rPr>
              <w:t xml:space="preserve">- в разделе «Отчеты» - ежеквартально обновляются показатели предоставленных социальных услуг гражданам пожилого возраста и инвалидам, в том числе детям – инвалидам, публикуется смета поступлений денежных средств и расходов; </w:t>
            </w:r>
          </w:p>
          <w:p w14:paraId="F9030000">
            <w:pPr>
              <w:ind w:firstLine="544" w:left="176" w:right="142"/>
              <w:jc w:val="both"/>
              <w:rPr>
                <w:rFonts w:ascii="Times New Roman" w:hAnsi="Times New Roman"/>
                <w:sz w:val="28"/>
              </w:rPr>
            </w:pPr>
            <w:r>
              <w:rPr>
                <w:rFonts w:ascii="Times New Roman" w:hAnsi="Times New Roman"/>
                <w:sz w:val="28"/>
              </w:rPr>
              <w:t>-   в разделе «Социальные проекты» - дополнена информация по проводимым мероприятиям: в детском реабилитационном центре «Добрая лошадка»  (размещены статьи и фото, отзывы родителей, чьи дети проходят реабилитацию в детском центре); в Народном университете  для старшего поколения «Серебряный век» (размещены статьи о мероприятиях  и фото); -      в разделе «Оценка качества» - ежеквартально подводятся итоги анкетирования обслуживаемых граждан о качестве предоставляемых социальных услуг и работе социальных работников;</w:t>
            </w:r>
          </w:p>
          <w:p w14:paraId="FA030000">
            <w:pPr>
              <w:ind w:firstLine="544" w:left="176" w:right="142"/>
              <w:jc w:val="both"/>
              <w:rPr>
                <w:rFonts w:ascii="Times New Roman" w:hAnsi="Times New Roman"/>
                <w:sz w:val="28"/>
              </w:rPr>
            </w:pPr>
            <w:r>
              <w:rPr>
                <w:rFonts w:ascii="Times New Roman" w:hAnsi="Times New Roman"/>
                <w:sz w:val="28"/>
              </w:rPr>
              <w:t xml:space="preserve"> -  в разделе «Мы предлагаем»  - служба  «Милосердие» - прокат средств реабилитации  постоянно  обновляется информация о заключенных договорах и пополнении прокатного фонда;    каждый год (в апреле) обновляется информация о тарифах на предоставляемые социальные услуги  на дому в отделениях социального обслуживания и специализированном отделении социально-медицинского обслуживания.</w:t>
            </w:r>
          </w:p>
          <w:p w14:paraId="FB030000">
            <w:pPr>
              <w:rPr>
                <w:rFonts w:ascii="Times New Roman" w:hAnsi="Times New Roman"/>
                <w:sz w:val="28"/>
              </w:rPr>
            </w:pPr>
            <w:r>
              <w:rPr>
                <w:rFonts w:ascii="Times New Roman" w:hAnsi="Times New Roman"/>
                <w:sz w:val="28"/>
              </w:rPr>
              <w:t xml:space="preserve">      2.     В разделе «Фонд президентских грантов»  по проекту «Детский реабилитационный центр «Добрая лошадка»  - размещена публикация «Мир здоровья и добра» с размещением фото.</w:t>
            </w:r>
          </w:p>
          <w:p w14:paraId="FC030000">
            <w:pPr>
              <w:rPr>
                <w:rFonts w:ascii="Times New Roman" w:hAnsi="Times New Roman"/>
                <w:sz w:val="28"/>
              </w:rPr>
            </w:pPr>
            <w:r>
              <w:rPr>
                <w:rFonts w:ascii="Times New Roman" w:hAnsi="Times New Roman"/>
                <w:sz w:val="28"/>
              </w:rPr>
              <w:t xml:space="preserve">      3. Раздел «Видеоматериалы» дополнен видеоматериалом  - «Итоги года» (автор фильма Валида  Кустова).</w:t>
            </w:r>
          </w:p>
          <w:p w14:paraId="FD030000">
            <w:pPr>
              <w:pStyle w:val="Style_3"/>
              <w:spacing w:after="0" w:before="0"/>
              <w:ind w:firstLine="391" w:left="176" w:right="142"/>
              <w:jc w:val="both"/>
              <w:rPr>
                <w:color w:val="2C2D2E"/>
                <w:sz w:val="28"/>
              </w:rPr>
            </w:pPr>
            <w:r>
              <w:rPr>
                <w:color w:val="2C2D2E"/>
                <w:sz w:val="28"/>
              </w:rPr>
              <w:t>4. В социальных сетях Одноклассники, В Контакте и </w:t>
            </w:r>
            <w:r>
              <w:rPr>
                <w:color w:val="2C2D2E"/>
                <w:sz w:val="28"/>
                <w:shd w:fill="FBFBFB" w:val="clear"/>
              </w:rPr>
              <w:t>Instagram</w:t>
            </w:r>
            <w:r>
              <w:rPr>
                <w:color w:val="2C2D2E"/>
                <w:sz w:val="28"/>
              </w:rPr>
              <w:t xml:space="preserve">  созданы группы «Детский центр «Добрая лошадка» по реабилитации детей методом иппотерапии.  </w:t>
            </w:r>
          </w:p>
          <w:p w14:paraId="FE030000">
            <w:pPr>
              <w:pStyle w:val="Style_3"/>
              <w:spacing w:after="0" w:before="0"/>
              <w:ind w:firstLine="391" w:left="176" w:right="142"/>
              <w:jc w:val="both"/>
              <w:rPr>
                <w:color w:val="2C2D2E"/>
                <w:sz w:val="28"/>
              </w:rPr>
            </w:pPr>
            <w:r>
              <w:rPr>
                <w:color w:val="2C2D2E"/>
                <w:sz w:val="28"/>
              </w:rPr>
              <w:t>Ссылки на группы в социальных сетях, где постоянно освещаются события на Детском Центре «Добрая лошадка». </w:t>
            </w:r>
          </w:p>
          <w:p w14:paraId="FF030000">
            <w:pPr>
              <w:pStyle w:val="Style_3"/>
              <w:spacing w:after="0" w:before="0"/>
              <w:ind w:firstLine="391" w:left="176" w:right="142"/>
              <w:jc w:val="both"/>
              <w:rPr>
                <w:sz w:val="28"/>
              </w:rPr>
            </w:pPr>
            <w:r>
              <w:rPr>
                <w:rStyle w:val="Style_19_ch"/>
                <w:sz w:val="28"/>
              </w:rPr>
              <w:fldChar w:fldCharType="begin"/>
            </w:r>
            <w:r>
              <w:rPr>
                <w:rStyle w:val="Style_19_ch"/>
                <w:sz w:val="28"/>
              </w:rPr>
              <w:instrText>HYPERLINK "https://ok.ru/group/57680960159974"</w:instrText>
            </w:r>
            <w:r>
              <w:rPr>
                <w:rStyle w:val="Style_19_ch"/>
                <w:sz w:val="28"/>
              </w:rPr>
              <w:fldChar w:fldCharType="separate"/>
            </w:r>
            <w:r>
              <w:rPr>
                <w:rStyle w:val="Style_19_ch"/>
                <w:sz w:val="28"/>
              </w:rPr>
              <w:t>https://ok.ru/group/57680960159974</w:t>
            </w:r>
            <w:r>
              <w:rPr>
                <w:rStyle w:val="Style_19_ch"/>
                <w:sz w:val="28"/>
              </w:rPr>
              <w:fldChar w:fldCharType="end"/>
            </w:r>
            <w:r>
              <w:rPr>
                <w:sz w:val="28"/>
              </w:rPr>
              <w:t>  - профиль группы в ОК</w:t>
            </w:r>
          </w:p>
          <w:p w14:paraId="00040000">
            <w:pPr>
              <w:pStyle w:val="Style_10"/>
              <w:ind w:firstLine="0" w:left="206" w:right="141"/>
              <w:jc w:val="both"/>
              <w:rPr>
                <w:rFonts w:ascii="Times New Roman" w:hAnsi="Times New Roman"/>
                <w:sz w:val="28"/>
              </w:rPr>
            </w:pPr>
            <w:r>
              <w:rPr>
                <w:rStyle w:val="Style_19_ch"/>
                <w:rFonts w:ascii="Times New Roman" w:hAnsi="Times New Roman"/>
                <w:sz w:val="28"/>
              </w:rPr>
              <w:fldChar w:fldCharType="begin"/>
            </w:r>
            <w:r>
              <w:rPr>
                <w:rStyle w:val="Style_19_ch"/>
                <w:rFonts w:ascii="Times New Roman" w:hAnsi="Times New Roman"/>
                <w:sz w:val="28"/>
              </w:rPr>
              <w:instrText>HYPERLINK "https://vk.com/kindly_horse"</w:instrText>
            </w:r>
            <w:r>
              <w:rPr>
                <w:rStyle w:val="Style_19_ch"/>
                <w:rFonts w:ascii="Times New Roman" w:hAnsi="Times New Roman"/>
                <w:sz w:val="28"/>
              </w:rPr>
              <w:fldChar w:fldCharType="separate"/>
            </w:r>
            <w:r>
              <w:rPr>
                <w:rStyle w:val="Style_19_ch"/>
                <w:rFonts w:ascii="Times New Roman" w:hAnsi="Times New Roman"/>
                <w:sz w:val="28"/>
              </w:rPr>
              <w:t>https://vk.com/kindly_horse</w:t>
            </w:r>
            <w:r>
              <w:rPr>
                <w:rStyle w:val="Style_19_ch"/>
                <w:rFonts w:ascii="Times New Roman" w:hAnsi="Times New Roman"/>
                <w:sz w:val="28"/>
              </w:rPr>
              <w:fldChar w:fldCharType="end"/>
            </w:r>
            <w:r>
              <w:rPr>
                <w:rFonts w:ascii="Times New Roman" w:hAnsi="Times New Roman"/>
                <w:sz w:val="28"/>
              </w:rPr>
              <w:t xml:space="preserve">  профиль группы в ВК                    </w:t>
            </w:r>
            <w:r>
              <w:rPr>
                <w:rStyle w:val="Style_19_ch"/>
                <w:rFonts w:ascii="Times New Roman" w:hAnsi="Times New Roman"/>
                <w:sz w:val="28"/>
              </w:rPr>
              <w:fldChar w:fldCharType="begin"/>
            </w:r>
            <w:r>
              <w:rPr>
                <w:rStyle w:val="Style_19_ch"/>
                <w:rFonts w:ascii="Times New Roman" w:hAnsi="Times New Roman"/>
                <w:sz w:val="28"/>
              </w:rPr>
              <w:instrText>HYPERLINK "https://www.instagram.com/ldobraya?r=nametag"</w:instrText>
            </w:r>
            <w:r>
              <w:rPr>
                <w:rStyle w:val="Style_19_ch"/>
                <w:rFonts w:ascii="Times New Roman" w:hAnsi="Times New Roman"/>
                <w:sz w:val="28"/>
              </w:rPr>
              <w:fldChar w:fldCharType="separate"/>
            </w:r>
            <w:r>
              <w:rPr>
                <w:rStyle w:val="Style_19_ch"/>
                <w:rFonts w:ascii="Times New Roman" w:hAnsi="Times New Roman"/>
                <w:sz w:val="28"/>
              </w:rPr>
              <w:t>https://www.instagram.com/ldobraya?r=nametag</w:t>
            </w:r>
            <w:r>
              <w:rPr>
                <w:rStyle w:val="Style_19_ch"/>
                <w:rFonts w:ascii="Times New Roman" w:hAnsi="Times New Roman"/>
                <w:sz w:val="28"/>
              </w:rPr>
              <w:fldChar w:fldCharType="end"/>
            </w:r>
            <w:r>
              <w:rPr>
                <w:rFonts w:ascii="Times New Roman" w:hAnsi="Times New Roman"/>
                <w:color w:val="2C2D2E"/>
                <w:sz w:val="28"/>
              </w:rPr>
              <w:t>  инстаграм</w:t>
            </w:r>
          </w:p>
        </w:tc>
      </w:tr>
      <w:tr>
        <w:tc>
          <w:tcPr>
            <w:tcW w:type="dxa" w:w="905"/>
            <w:tcBorders>
              <w:top w:color="000000" w:sz="4" w:val="single"/>
              <w:left w:color="000000" w:sz="4" w:val="single"/>
              <w:bottom w:color="000000" w:sz="4" w:val="single"/>
              <w:right w:color="000000" w:sz="4" w:val="single"/>
            </w:tcBorders>
            <w:shd w:fill="FFFFFF" w:val="clear"/>
          </w:tcPr>
          <w:p w14:paraId="01040000">
            <w:pPr>
              <w:ind w:firstLine="0" w:left="-57"/>
              <w:jc w:val="center"/>
              <w:rPr>
                <w:rFonts w:ascii="Times New Roman" w:hAnsi="Times New Roman"/>
                <w:sz w:val="28"/>
              </w:rPr>
            </w:pPr>
            <w:r>
              <w:rPr>
                <w:rFonts w:ascii="Times New Roman" w:hAnsi="Times New Roman"/>
                <w:sz w:val="28"/>
              </w:rPr>
              <w:t>1.2.1.</w:t>
            </w:r>
          </w:p>
        </w:tc>
        <w:tc>
          <w:tcPr>
            <w:tcW w:type="dxa" w:w="4502"/>
            <w:gridSpan w:val="2"/>
            <w:tcBorders>
              <w:top w:color="000000" w:sz="4" w:val="single"/>
              <w:left w:color="000000" w:sz="4" w:val="single"/>
              <w:bottom w:color="000000" w:sz="4" w:val="single"/>
              <w:right w:color="000000" w:sz="4" w:val="single"/>
            </w:tcBorders>
            <w:shd w:fill="FFFFFF" w:val="clear"/>
          </w:tcPr>
          <w:p w14:paraId="02040000">
            <w:pPr>
              <w:keepNext w:val="1"/>
              <w:keepLines w:val="1"/>
              <w:ind/>
              <w:rPr>
                <w:rFonts w:ascii="Times New Roman" w:hAnsi="Times New Roman"/>
                <w:sz w:val="28"/>
              </w:rPr>
            </w:pPr>
            <w:r>
              <w:rPr>
                <w:rFonts w:ascii="Times New Roman" w:hAnsi="Times New Roman"/>
                <w:sz w:val="28"/>
              </w:rPr>
              <w:t>Освещение мероприятий, проводимых организациями социального обслуживания всех форм собственности на официальном сайте Департамента труда и социального развития Администрации города Волгодонска</w:t>
            </w:r>
          </w:p>
        </w:tc>
        <w:tc>
          <w:tcPr>
            <w:tcW w:type="dxa" w:w="3458"/>
            <w:gridSpan w:val="2"/>
            <w:tcBorders>
              <w:top w:color="000000" w:sz="4" w:val="single"/>
              <w:left w:color="000000" w:sz="4" w:val="single"/>
              <w:bottom w:color="000000" w:sz="4" w:val="single"/>
              <w:right w:color="000000" w:sz="4" w:val="single"/>
            </w:tcBorders>
            <w:shd w:fill="FFFFFF" w:val="clear"/>
          </w:tcPr>
          <w:p w14:paraId="03040000">
            <w:pPr>
              <w:rPr>
                <w:rFonts w:ascii="Times New Roman" w:hAnsi="Times New Roman"/>
                <w:sz w:val="28"/>
              </w:rPr>
            </w:pPr>
            <w:r>
              <w:rPr>
                <w:rFonts w:ascii="Times New Roman" w:hAnsi="Times New Roman"/>
                <w:sz w:val="28"/>
              </w:rPr>
              <w:t>информированность граждан о деятельности организаций</w:t>
            </w:r>
          </w:p>
        </w:tc>
        <w:tc>
          <w:tcPr>
            <w:tcW w:type="dxa" w:w="3129"/>
            <w:gridSpan w:val="7"/>
            <w:tcBorders>
              <w:top w:color="000000" w:sz="4" w:val="single"/>
              <w:left w:color="000000" w:sz="4" w:val="single"/>
              <w:bottom w:color="000000" w:sz="4" w:val="single"/>
              <w:right w:color="000000" w:sz="4" w:val="single"/>
            </w:tcBorders>
            <w:shd w:fill="FFFFFF" w:val="clear"/>
          </w:tcPr>
          <w:p w14:paraId="04040000">
            <w:pPr>
              <w:rPr>
                <w:rFonts w:ascii="Times New Roman" w:hAnsi="Times New Roman"/>
                <w:sz w:val="28"/>
              </w:rPr>
            </w:pPr>
            <w:r>
              <w:rPr>
                <w:rFonts w:ascii="Times New Roman" w:hAnsi="Times New Roman"/>
                <w:sz w:val="28"/>
              </w:rPr>
              <w:t>Департамент труда и социального развития Администрации города Волгодонска</w:t>
            </w:r>
          </w:p>
        </w:tc>
        <w:tc>
          <w:tcPr>
            <w:tcW w:type="dxa" w:w="1548"/>
            <w:gridSpan w:val="6"/>
            <w:tcBorders>
              <w:top w:color="000000" w:sz="4" w:val="single"/>
              <w:left w:color="000000" w:sz="4" w:val="single"/>
              <w:bottom w:color="000000" w:sz="4" w:val="single"/>
              <w:right w:color="000000" w:sz="4" w:val="single"/>
            </w:tcBorders>
            <w:shd w:fill="FFFFFF" w:val="clear"/>
          </w:tcPr>
          <w:p w14:paraId="05040000">
            <w:pPr>
              <w:ind/>
              <w:jc w:val="center"/>
              <w:rPr>
                <w:rFonts w:ascii="Times New Roman" w:hAnsi="Times New Roman"/>
                <w:sz w:val="28"/>
              </w:rPr>
            </w:pPr>
            <w:r>
              <w:rPr>
                <w:rFonts w:ascii="Times New Roman" w:hAnsi="Times New Roman"/>
                <w:sz w:val="28"/>
              </w:rPr>
              <w:t>весь период</w:t>
            </w:r>
          </w:p>
        </w:tc>
        <w:tc>
          <w:tcPr>
            <w:tcW w:type="dxa" w:w="1141"/>
            <w:tcBorders>
              <w:top w:color="000000" w:sz="4" w:val="single"/>
              <w:left w:color="000000" w:sz="4" w:val="single"/>
              <w:bottom w:color="000000" w:sz="4" w:val="single"/>
              <w:right w:color="000000" w:sz="4" w:val="single"/>
            </w:tcBorders>
            <w:shd w:fill="FFFFFF" w:val="clear"/>
          </w:tcPr>
          <w:p w14:paraId="06040000">
            <w:pPr>
              <w:rPr>
                <w:rFonts w:ascii="Times New Roman" w:hAnsi="Times New Roman"/>
                <w:sz w:val="28"/>
              </w:rPr>
            </w:pPr>
            <w:r>
              <w:rPr>
                <w:rFonts w:ascii="Times New Roman" w:hAnsi="Times New Roman"/>
                <w:sz w:val="28"/>
              </w:rPr>
              <w:t>В 2021 году на официальном сайте Департамента труда и социального развития Администрации города Волгодонска размещено 11 информаций, сюжетов, отчетов, сообщений о деятельности учреждений социального обслуживания</w:t>
            </w:r>
          </w:p>
        </w:tc>
      </w:tr>
      <w:tr>
        <w:tc>
          <w:tcPr>
            <w:tcW w:type="dxa" w:w="905"/>
            <w:tcBorders>
              <w:top w:color="000000" w:sz="4" w:val="single"/>
              <w:left w:color="000000" w:sz="4" w:val="single"/>
              <w:bottom w:color="000000" w:sz="4" w:val="single"/>
              <w:right w:color="000000" w:sz="4" w:val="single"/>
            </w:tcBorders>
            <w:shd w:fill="FFFFFF" w:val="clear"/>
          </w:tcPr>
          <w:p w14:paraId="07040000">
            <w:pPr>
              <w:spacing w:line="240" w:lineRule="auto"/>
              <w:ind w:firstLine="0" w:left="-57"/>
              <w:jc w:val="center"/>
              <w:rPr>
                <w:rFonts w:ascii="Times New Roman" w:hAnsi="Times New Roman"/>
                <w:sz w:val="28"/>
              </w:rPr>
            </w:pPr>
            <w:r>
              <w:rPr>
                <w:rFonts w:ascii="Times New Roman" w:hAnsi="Times New Roman"/>
                <w:sz w:val="28"/>
              </w:rPr>
              <w:t>1.2.2.</w:t>
            </w:r>
          </w:p>
        </w:tc>
        <w:tc>
          <w:tcPr>
            <w:tcW w:type="dxa" w:w="4502"/>
            <w:gridSpan w:val="2"/>
            <w:tcBorders>
              <w:top w:color="000000" w:sz="4" w:val="single"/>
              <w:left w:color="000000" w:sz="4" w:val="single"/>
              <w:bottom w:color="000000" w:sz="4" w:val="single"/>
              <w:right w:color="000000" w:sz="4" w:val="single"/>
            </w:tcBorders>
            <w:shd w:fill="FFFFFF" w:val="clear"/>
          </w:tcPr>
          <w:p w14:paraId="08040000">
            <w:pPr>
              <w:keepNext w:val="1"/>
              <w:keepLines w:val="1"/>
              <w:ind/>
              <w:rPr>
                <w:rFonts w:ascii="Times New Roman" w:hAnsi="Times New Roman"/>
                <w:sz w:val="28"/>
              </w:rPr>
            </w:pPr>
            <w:r>
              <w:rPr>
                <w:rFonts w:ascii="Times New Roman" w:hAnsi="Times New Roman"/>
                <w:sz w:val="28"/>
              </w:rPr>
              <w:t>Проведение информационно-разъяснительной работы, в том числе через информационно-телекоммуникационную сеть «Интернет», средства массовой информации и посредством проведения семинаров с поставщиками социальных услуг по вопросам привлечения организаций всех форм собственности к оказанию социальных услуг</w:t>
            </w:r>
          </w:p>
        </w:tc>
        <w:tc>
          <w:tcPr>
            <w:tcW w:type="dxa" w:w="3458"/>
            <w:gridSpan w:val="2"/>
            <w:tcBorders>
              <w:top w:color="000000" w:sz="4" w:val="single"/>
              <w:left w:color="000000" w:sz="4" w:val="single"/>
              <w:bottom w:color="000000" w:sz="4" w:val="single"/>
              <w:right w:color="000000" w:sz="4" w:val="single"/>
            </w:tcBorders>
            <w:shd w:fill="FFFFFF" w:val="clear"/>
          </w:tcPr>
          <w:p w14:paraId="09040000">
            <w:pPr>
              <w:spacing w:line="240" w:lineRule="auto"/>
              <w:ind/>
              <w:rPr>
                <w:rFonts w:ascii="Times New Roman" w:hAnsi="Times New Roman"/>
                <w:sz w:val="28"/>
              </w:rPr>
            </w:pPr>
            <w:r>
              <w:rPr>
                <w:rFonts w:ascii="Times New Roman" w:hAnsi="Times New Roman"/>
                <w:sz w:val="28"/>
              </w:rPr>
              <w:t>увеличение доли поставщиков социальных услуг всех форм собственности</w:t>
            </w:r>
          </w:p>
        </w:tc>
        <w:tc>
          <w:tcPr>
            <w:tcW w:type="dxa" w:w="3129"/>
            <w:gridSpan w:val="7"/>
            <w:tcBorders>
              <w:top w:color="000000" w:sz="4" w:val="single"/>
              <w:left w:color="000000" w:sz="4" w:val="single"/>
              <w:bottom w:color="000000" w:sz="4" w:val="single"/>
              <w:right w:color="000000" w:sz="4" w:val="single"/>
            </w:tcBorders>
            <w:shd w:fill="FFFFFF" w:val="clear"/>
          </w:tcPr>
          <w:p w14:paraId="0A040000">
            <w:pPr>
              <w:rPr>
                <w:rFonts w:ascii="Times New Roman" w:hAnsi="Times New Roman"/>
                <w:sz w:val="28"/>
              </w:rPr>
            </w:pPr>
            <w:r>
              <w:rPr>
                <w:rFonts w:ascii="Times New Roman" w:hAnsi="Times New Roman"/>
                <w:sz w:val="28"/>
              </w:rPr>
              <w:t>Департамент труда и социального развития Администрации города Волгодонска</w:t>
            </w:r>
          </w:p>
        </w:tc>
        <w:tc>
          <w:tcPr>
            <w:tcW w:type="dxa" w:w="1548"/>
            <w:gridSpan w:val="6"/>
            <w:tcBorders>
              <w:top w:color="000000" w:sz="4" w:val="single"/>
              <w:left w:color="000000" w:sz="4" w:val="single"/>
              <w:bottom w:color="000000" w:sz="4" w:val="single"/>
              <w:right w:color="000000" w:sz="4" w:val="single"/>
            </w:tcBorders>
            <w:shd w:fill="FFFFFF" w:val="clear"/>
          </w:tcPr>
          <w:p w14:paraId="0B040000">
            <w:pPr>
              <w:spacing w:line="240" w:lineRule="auto"/>
              <w:ind/>
              <w:jc w:val="center"/>
              <w:rPr>
                <w:rFonts w:ascii="Times New Roman" w:hAnsi="Times New Roman"/>
                <w:color w:val="FF0000"/>
                <w:sz w:val="28"/>
              </w:rPr>
            </w:pPr>
            <w:r>
              <w:rPr>
                <w:rFonts w:ascii="Times New Roman" w:hAnsi="Times New Roman"/>
                <w:sz w:val="28"/>
              </w:rPr>
              <w:t>весь период</w:t>
            </w:r>
          </w:p>
        </w:tc>
        <w:tc>
          <w:tcPr>
            <w:tcW w:type="dxa" w:w="1141"/>
            <w:tcBorders>
              <w:top w:color="000000" w:sz="4" w:val="single"/>
              <w:left w:color="000000" w:sz="4" w:val="single"/>
              <w:bottom w:color="000000" w:sz="4" w:val="single"/>
              <w:right w:color="000000" w:sz="4" w:val="single"/>
            </w:tcBorders>
            <w:shd w:fill="FFFFFF" w:val="clear"/>
          </w:tcPr>
          <w:p w14:paraId="0C040000">
            <w:pPr>
              <w:spacing w:line="240" w:lineRule="auto"/>
              <w:ind/>
              <w:jc w:val="center"/>
              <w:rPr>
                <w:rFonts w:ascii="Times New Roman" w:hAnsi="Times New Roman"/>
                <w:b w:val="1"/>
                <w:sz w:val="28"/>
              </w:rPr>
            </w:pPr>
            <w:r>
              <w:rPr>
                <w:rFonts w:ascii="Times New Roman" w:hAnsi="Times New Roman"/>
                <w:b w:val="1"/>
                <w:sz w:val="28"/>
              </w:rPr>
              <w:t>См.1.2.2</w:t>
            </w:r>
          </w:p>
        </w:tc>
      </w:tr>
      <w:tr>
        <w:trPr>
          <w:trHeight w:hRule="atLeast" w:val="634"/>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0D040000">
            <w:pPr>
              <w:spacing w:line="240" w:lineRule="auto"/>
              <w:ind/>
              <w:jc w:val="center"/>
              <w:rPr>
                <w:rFonts w:ascii="Times New Roman" w:hAnsi="Times New Roman"/>
                <w:b w:val="1"/>
                <w:sz w:val="28"/>
              </w:rPr>
            </w:pPr>
            <w:r>
              <w:rPr>
                <w:rFonts w:ascii="Times New Roman" w:hAnsi="Times New Roman"/>
                <w:b w:val="1"/>
                <w:sz w:val="28"/>
              </w:rPr>
              <w:t>1.3 Рынок услуг дошкольного образования</w:t>
            </w:r>
          </w:p>
        </w:tc>
      </w:tr>
      <w:tr>
        <w:tc>
          <w:tcPr>
            <w:tcW w:type="dxa" w:w="14683"/>
            <w:gridSpan w:val="19"/>
            <w:tcBorders>
              <w:top w:color="000000" w:sz="4" w:val="single"/>
              <w:left w:color="000000" w:sz="4" w:val="single"/>
              <w:bottom w:color="000000" w:sz="4" w:val="single"/>
              <w:right w:color="000000" w:sz="4" w:val="single"/>
            </w:tcBorders>
            <w:shd w:fill="FFFFFF" w:val="clear"/>
          </w:tcPr>
          <w:p w14:paraId="0E040000">
            <w:pPr>
              <w:keepNext w:val="1"/>
              <w:keepLines w:val="1"/>
              <w:ind/>
              <w:jc w:val="both"/>
              <w:rPr>
                <w:rFonts w:ascii="Times New Roman" w:hAnsi="Times New Roman"/>
                <w:sz w:val="28"/>
              </w:rPr>
            </w:pPr>
            <w:r>
              <w:rPr>
                <w:rFonts w:ascii="Times New Roman" w:hAnsi="Times New Roman"/>
                <w:sz w:val="28"/>
              </w:rPr>
              <w:t xml:space="preserve">В городе Волгодонске доступность дошкольного образования для детей в возрасте от 3 до 7 лет в городе составляет 100 % </w:t>
            </w:r>
            <w:r>
              <w:rPr>
                <w:rFonts w:ascii="Times New Roman" w:hAnsi="Times New Roman"/>
                <w:sz w:val="28"/>
              </w:rPr>
              <w:br/>
            </w:r>
            <w:r>
              <w:rPr>
                <w:rFonts w:ascii="Times New Roman" w:hAnsi="Times New Roman"/>
                <w:sz w:val="28"/>
              </w:rPr>
              <w:t>(по Ростовской области – 100 %, по Российской Федерации – 100 %).</w:t>
            </w:r>
          </w:p>
          <w:p w14:paraId="0F040000">
            <w:pPr>
              <w:keepNext w:val="1"/>
              <w:keepLines w:val="1"/>
              <w:ind/>
              <w:jc w:val="both"/>
              <w:rPr>
                <w:rFonts w:ascii="Times New Roman" w:hAnsi="Times New Roman"/>
                <w:sz w:val="28"/>
              </w:rPr>
            </w:pPr>
            <w:r>
              <w:rPr>
                <w:rFonts w:ascii="Times New Roman" w:hAnsi="Times New Roman"/>
                <w:sz w:val="28"/>
              </w:rPr>
              <w:t xml:space="preserve">Услуги дошкольного образования предоставляют 42 образовательные организации различных типов и форм собственности, которые посещают 9604 человека, в том числе в возрасте от 1 года до 3 лет - 1562 человека. </w:t>
            </w:r>
          </w:p>
          <w:p w14:paraId="10040000">
            <w:pPr>
              <w:keepNext w:val="1"/>
              <w:keepLines w:val="1"/>
              <w:ind/>
              <w:jc w:val="both"/>
              <w:rPr>
                <w:rFonts w:ascii="Times New Roman" w:hAnsi="Times New Roman"/>
                <w:sz w:val="28"/>
              </w:rPr>
            </w:pPr>
            <w:r>
              <w:rPr>
                <w:rFonts w:ascii="Times New Roman" w:hAnsi="Times New Roman"/>
                <w:sz w:val="28"/>
              </w:rPr>
              <w:t xml:space="preserve">Детей в возрасте от 0 до 7 лет, не обеспеченных местом в дошкольной организации с желаемой датой зачисления 1 сентября текущего учебного года (актуальная очередь), нет. </w:t>
            </w:r>
          </w:p>
          <w:p w14:paraId="11040000">
            <w:pPr>
              <w:keepNext w:val="1"/>
              <w:keepLines w:val="1"/>
              <w:ind/>
              <w:jc w:val="both"/>
              <w:rPr>
                <w:rFonts w:ascii="Times New Roman" w:hAnsi="Times New Roman"/>
                <w:sz w:val="28"/>
              </w:rPr>
            </w:pPr>
            <w:r>
              <w:rPr>
                <w:rFonts w:ascii="Times New Roman" w:hAnsi="Times New Roman"/>
                <w:sz w:val="28"/>
              </w:rPr>
              <w:t>Проблемы, затрудняющие развитие конкуренции в сфере дошкольного образования:</w:t>
            </w:r>
          </w:p>
          <w:p w14:paraId="12040000">
            <w:pPr>
              <w:keepNext w:val="1"/>
              <w:keepLines w:val="1"/>
              <w:ind/>
              <w:jc w:val="both"/>
              <w:rPr>
                <w:rFonts w:ascii="Times New Roman" w:hAnsi="Times New Roman"/>
                <w:sz w:val="28"/>
              </w:rPr>
            </w:pPr>
            <w:r>
              <w:rPr>
                <w:rFonts w:ascii="Times New Roman" w:hAnsi="Times New Roman"/>
                <w:sz w:val="28"/>
              </w:rPr>
              <w:t>высокий уровень затрат при выходе на рынок по организации и содержанию образовательных организаций;</w:t>
            </w:r>
          </w:p>
          <w:p w14:paraId="13040000">
            <w:pPr>
              <w:keepNext w:val="1"/>
              <w:keepLines w:val="1"/>
              <w:ind/>
              <w:jc w:val="both"/>
              <w:rPr>
                <w:rFonts w:ascii="Times New Roman" w:hAnsi="Times New Roman"/>
                <w:sz w:val="28"/>
              </w:rPr>
            </w:pPr>
            <w:r>
              <w:rPr>
                <w:rFonts w:ascii="Times New Roman" w:hAnsi="Times New Roman"/>
                <w:sz w:val="28"/>
              </w:rPr>
              <w:t>в связи с активным созданием дополнительных мест в муниципальных детских садах снижается доля, получающих</w:t>
            </w:r>
            <w:r>
              <w:rPr>
                <w:rFonts w:ascii="Times New Roman" w:hAnsi="Times New Roman"/>
                <w:sz w:val="28"/>
              </w:rPr>
              <w:t xml:space="preserve"> услуги дошкольного образования, присмотра и ухода в негосударственном секторе.</w:t>
            </w:r>
          </w:p>
          <w:p w14:paraId="14040000">
            <w:pPr>
              <w:ind/>
              <w:jc w:val="both"/>
              <w:rPr>
                <w:rFonts w:ascii="Times New Roman" w:hAnsi="Times New Roman"/>
                <w:sz w:val="28"/>
              </w:rPr>
            </w:pPr>
            <w:r>
              <w:rPr>
                <w:rFonts w:ascii="Times New Roman" w:hAnsi="Times New Roman"/>
                <w:b w:val="1"/>
                <w:sz w:val="28"/>
              </w:rPr>
              <w:t>1.3.1</w:t>
            </w:r>
            <w:r>
              <w:rPr>
                <w:rFonts w:ascii="Times New Roman" w:hAnsi="Times New Roman"/>
                <w:sz w:val="28"/>
              </w:rPr>
              <w:t>. Представители частных дошкольных образовательных организаций по вопросу развития дошкольного образования приняли участие 23.02.2021 в онлайн-формате городское методическое объединение для музыкальных руководителей «Развитие музыкальных способностей и творческого мышления детей дошкольного возраста  через элементарное музицирование»; 09.04.2021 года   в онлайн-формате городское методическое объединение для инструкторов по физической культуре «Создание условий для социально - психологической адаптации и развитие активности, самостоятельности, инициативы у детей дошкольного возраста на физкультурных занятиях»;</w:t>
            </w:r>
          </w:p>
          <w:p w14:paraId="15040000">
            <w:pPr>
              <w:ind/>
              <w:jc w:val="both"/>
              <w:rPr>
                <w:rFonts w:ascii="Times New Roman" w:hAnsi="Times New Roman"/>
                <w:sz w:val="28"/>
              </w:rPr>
            </w:pPr>
            <w:r>
              <w:rPr>
                <w:rFonts w:ascii="Times New Roman" w:hAnsi="Times New Roman"/>
                <w:sz w:val="28"/>
              </w:rPr>
              <w:t>27.04.2021 в онлайн-формате городское методическое объединение для музыкальных руководителей «Развитие творческих способностей дошкольников через знакомство с народным казачьим театром».</w:t>
            </w:r>
          </w:p>
          <w:p w14:paraId="16040000">
            <w:pPr>
              <w:keepNext w:val="1"/>
              <w:keepLines w:val="1"/>
              <w:ind/>
              <w:jc w:val="both"/>
              <w:rPr>
                <w:rFonts w:ascii="Times New Roman" w:hAnsi="Times New Roman"/>
                <w:sz w:val="28"/>
              </w:rPr>
            </w:pPr>
          </w:p>
        </w:tc>
      </w:tr>
      <w:tr>
        <w:tc>
          <w:tcPr>
            <w:tcW w:type="dxa" w:w="905"/>
            <w:tcBorders>
              <w:top w:color="000000" w:sz="4" w:val="single"/>
              <w:left w:color="000000" w:sz="4" w:val="single"/>
              <w:bottom w:color="000000" w:sz="4" w:val="single"/>
              <w:right w:color="000000" w:sz="4" w:val="single"/>
            </w:tcBorders>
            <w:shd w:fill="FFFFFF" w:val="clear"/>
          </w:tcPr>
          <w:p w14:paraId="17040000">
            <w:pPr>
              <w:ind/>
              <w:jc w:val="center"/>
              <w:rPr>
                <w:rFonts w:ascii="Times New Roman" w:hAnsi="Times New Roman"/>
                <w:sz w:val="28"/>
              </w:rPr>
            </w:pPr>
            <w:r>
              <w:rPr>
                <w:rFonts w:ascii="Times New Roman" w:hAnsi="Times New Roman"/>
                <w:sz w:val="28"/>
              </w:rPr>
              <w:t>1.3.1.</w:t>
            </w:r>
          </w:p>
        </w:tc>
        <w:tc>
          <w:tcPr>
            <w:tcW w:type="dxa" w:w="4502"/>
            <w:gridSpan w:val="2"/>
            <w:tcBorders>
              <w:top w:color="000000" w:sz="4" w:val="single"/>
              <w:left w:color="000000" w:sz="4" w:val="single"/>
              <w:bottom w:color="000000" w:sz="4" w:val="single"/>
              <w:right w:color="000000" w:sz="4" w:val="single"/>
            </w:tcBorders>
            <w:shd w:fill="FFFFFF" w:val="clear"/>
          </w:tcPr>
          <w:p w14:paraId="18040000">
            <w:pPr>
              <w:rPr>
                <w:rFonts w:ascii="Times New Roman" w:hAnsi="Times New Roman"/>
                <w:sz w:val="28"/>
              </w:rPr>
            </w:pPr>
            <w:r>
              <w:rPr>
                <w:rFonts w:ascii="Times New Roman" w:hAnsi="Times New Roman"/>
                <w:sz w:val="28"/>
              </w:rPr>
              <w:t>Проведение совещаний, семинаров, «круглых столов», вебинаров с участием частных дошкольных образовательных организаций по вопросу развития дошкольного образования</w:t>
            </w:r>
          </w:p>
        </w:tc>
        <w:tc>
          <w:tcPr>
            <w:tcW w:type="dxa" w:w="3458"/>
            <w:gridSpan w:val="2"/>
            <w:tcBorders>
              <w:top w:color="000000" w:sz="4" w:val="single"/>
              <w:left w:color="000000" w:sz="4" w:val="single"/>
              <w:bottom w:color="000000" w:sz="4" w:val="single"/>
              <w:right w:color="000000" w:sz="4" w:val="single"/>
            </w:tcBorders>
            <w:shd w:fill="FFFFFF" w:val="clear"/>
          </w:tcPr>
          <w:p w14:paraId="19040000">
            <w:pPr>
              <w:rPr>
                <w:rFonts w:ascii="Times New Roman" w:hAnsi="Times New Roman"/>
                <w:sz w:val="28"/>
              </w:rPr>
            </w:pPr>
            <w:r>
              <w:rPr>
                <w:rFonts w:ascii="Times New Roman" w:hAnsi="Times New Roman"/>
                <w:sz w:val="28"/>
              </w:rPr>
              <w:t>повышение качества предоставляемых образовательных услуг в сфере дошкольного образования</w:t>
            </w:r>
          </w:p>
        </w:tc>
        <w:tc>
          <w:tcPr>
            <w:tcW w:type="dxa" w:w="3129"/>
            <w:gridSpan w:val="7"/>
            <w:tcBorders>
              <w:top w:color="000000" w:sz="4" w:val="single"/>
              <w:left w:color="000000" w:sz="4" w:val="single"/>
              <w:bottom w:color="000000" w:sz="4" w:val="single"/>
              <w:right w:color="000000" w:sz="4" w:val="single"/>
            </w:tcBorders>
            <w:shd w:fill="FFFFFF" w:val="clear"/>
          </w:tcPr>
          <w:p w14:paraId="1A040000">
            <w:pPr>
              <w:rPr>
                <w:rFonts w:ascii="Times New Roman" w:hAnsi="Times New Roman"/>
                <w:sz w:val="28"/>
              </w:rPr>
            </w:pPr>
            <w:r>
              <w:rPr>
                <w:rFonts w:ascii="Times New Roman" w:hAnsi="Times New Roman"/>
                <w:sz w:val="28"/>
              </w:rPr>
              <w:t xml:space="preserve">Управление образования </w:t>
            </w:r>
          </w:p>
          <w:p w14:paraId="1B040000">
            <w:pPr>
              <w:rPr>
                <w:rFonts w:ascii="Times New Roman" w:hAnsi="Times New Roman"/>
                <w:sz w:val="28"/>
              </w:rPr>
            </w:pPr>
            <w:r>
              <w:rPr>
                <w:rFonts w:ascii="Times New Roman" w:hAnsi="Times New Roman"/>
                <w:sz w:val="28"/>
              </w:rPr>
              <w:t>г. Волгодонска</w:t>
            </w:r>
          </w:p>
        </w:tc>
        <w:tc>
          <w:tcPr>
            <w:tcW w:type="dxa" w:w="1548"/>
            <w:gridSpan w:val="6"/>
            <w:tcBorders>
              <w:top w:color="000000" w:sz="4" w:val="single"/>
              <w:left w:color="000000" w:sz="4" w:val="single"/>
              <w:bottom w:color="000000" w:sz="4" w:val="single"/>
              <w:right w:color="000000" w:sz="4" w:val="single"/>
            </w:tcBorders>
            <w:shd w:fill="FFFFFF" w:val="clear"/>
          </w:tcPr>
          <w:p w14:paraId="1C040000">
            <w:pPr>
              <w:ind w:hanging="49" w:left="49"/>
              <w:jc w:val="center"/>
              <w:rPr>
                <w:rFonts w:ascii="Times New Roman" w:hAnsi="Times New Roman"/>
                <w:sz w:val="28"/>
              </w:rPr>
            </w:pPr>
            <w:r>
              <w:rPr>
                <w:rFonts w:ascii="Times New Roman" w:hAnsi="Times New Roman"/>
                <w:sz w:val="28"/>
              </w:rPr>
              <w:t>весь период</w:t>
            </w:r>
          </w:p>
        </w:tc>
        <w:tc>
          <w:tcPr>
            <w:tcW w:type="dxa" w:w="1141"/>
            <w:tcBorders>
              <w:top w:color="000000" w:sz="4" w:val="single"/>
              <w:left w:color="000000" w:sz="4" w:val="single"/>
              <w:bottom w:color="000000" w:sz="4" w:val="single"/>
              <w:right w:color="000000" w:sz="4" w:val="single"/>
            </w:tcBorders>
            <w:shd w:fill="FFFFFF" w:val="clear"/>
          </w:tcPr>
          <w:p w14:paraId="1D040000">
            <w:pPr>
              <w:ind w:hanging="49" w:left="49"/>
              <w:jc w:val="center"/>
              <w:rPr>
                <w:rFonts w:ascii="Times New Roman" w:hAnsi="Times New Roman"/>
                <w:sz w:val="28"/>
              </w:rPr>
            </w:pPr>
            <w:r>
              <w:rPr>
                <w:rFonts w:ascii="Times New Roman" w:hAnsi="Times New Roman"/>
                <w:sz w:val="28"/>
              </w:rPr>
              <w:t>См.1.3.</w:t>
            </w:r>
          </w:p>
        </w:tc>
      </w:tr>
      <w:tr>
        <w:tc>
          <w:tcPr>
            <w:tcW w:type="dxa" w:w="905"/>
            <w:tcBorders>
              <w:top w:color="000000" w:sz="4" w:val="single"/>
              <w:left w:color="000000" w:sz="4" w:val="single"/>
              <w:bottom w:color="000000" w:sz="4" w:val="single"/>
              <w:right w:color="000000" w:sz="4" w:val="single"/>
            </w:tcBorders>
            <w:shd w:fill="FFFFFF" w:val="clear"/>
          </w:tcPr>
          <w:p w14:paraId="1E040000">
            <w:pPr>
              <w:ind/>
              <w:jc w:val="center"/>
              <w:rPr>
                <w:rFonts w:ascii="Times New Roman" w:hAnsi="Times New Roman"/>
                <w:sz w:val="28"/>
              </w:rPr>
            </w:pPr>
            <w:r>
              <w:rPr>
                <w:rFonts w:ascii="Times New Roman" w:hAnsi="Times New Roman"/>
                <w:sz w:val="28"/>
              </w:rPr>
              <w:t>1.3.2</w:t>
            </w:r>
          </w:p>
        </w:tc>
        <w:tc>
          <w:tcPr>
            <w:tcW w:type="dxa" w:w="4502"/>
            <w:gridSpan w:val="2"/>
            <w:tcBorders>
              <w:top w:color="000000" w:sz="4" w:val="single"/>
              <w:left w:color="000000" w:sz="4" w:val="single"/>
              <w:bottom w:color="000000" w:sz="4" w:val="single"/>
              <w:right w:color="000000" w:sz="4" w:val="single"/>
            </w:tcBorders>
            <w:shd w:fill="FFFFFF" w:val="clear"/>
          </w:tcPr>
          <w:p w14:paraId="1F040000">
            <w:pPr>
              <w:rPr>
                <w:rFonts w:ascii="Times New Roman" w:hAnsi="Times New Roman"/>
                <w:sz w:val="28"/>
              </w:rPr>
            </w:pPr>
            <w:r>
              <w:rPr>
                <w:rFonts w:ascii="Times New Roman" w:hAnsi="Times New Roman"/>
                <w:sz w:val="28"/>
              </w:rPr>
              <w:t>Организация работы по информированию и методической поддержке по прохождению процедуры лицензирования образовательной деятельности субъектов малого и среднего предпринимательства, оказывающих услуги для детей дошкольного возраста</w:t>
            </w:r>
          </w:p>
        </w:tc>
        <w:tc>
          <w:tcPr>
            <w:tcW w:type="dxa" w:w="3458"/>
            <w:gridSpan w:val="2"/>
            <w:tcBorders>
              <w:top w:color="000000" w:sz="4" w:val="single"/>
              <w:left w:color="000000" w:sz="4" w:val="single"/>
              <w:bottom w:color="000000" w:sz="4" w:val="single"/>
              <w:right w:color="000000" w:sz="4" w:val="single"/>
            </w:tcBorders>
            <w:shd w:fill="FFFFFF" w:val="clear"/>
          </w:tcPr>
          <w:p w14:paraId="20040000">
            <w:pPr>
              <w:rPr>
                <w:rFonts w:ascii="Times New Roman" w:hAnsi="Times New Roman"/>
                <w:sz w:val="28"/>
              </w:rPr>
            </w:pPr>
            <w:r>
              <w:rPr>
                <w:rFonts w:ascii="Times New Roman" w:hAnsi="Times New Roman"/>
                <w:sz w:val="28"/>
              </w:rPr>
              <w:t>расширение рынка услуг дошкольного образования, оказываемых частными образовательными организациями и индивидуальными предпринимателями</w:t>
            </w:r>
          </w:p>
        </w:tc>
        <w:tc>
          <w:tcPr>
            <w:tcW w:type="dxa" w:w="3129"/>
            <w:gridSpan w:val="7"/>
            <w:tcBorders>
              <w:top w:color="000000" w:sz="4" w:val="single"/>
              <w:left w:color="000000" w:sz="4" w:val="single"/>
              <w:bottom w:color="000000" w:sz="4" w:val="single"/>
              <w:right w:color="000000" w:sz="4" w:val="single"/>
            </w:tcBorders>
            <w:shd w:fill="FFFFFF" w:val="clear"/>
          </w:tcPr>
          <w:p w14:paraId="21040000">
            <w:pPr>
              <w:rPr>
                <w:rFonts w:ascii="Times New Roman" w:hAnsi="Times New Roman"/>
                <w:sz w:val="28"/>
              </w:rPr>
            </w:pPr>
            <w:r>
              <w:rPr>
                <w:rFonts w:ascii="Times New Roman" w:hAnsi="Times New Roman"/>
                <w:sz w:val="28"/>
              </w:rPr>
              <w:t xml:space="preserve">Управление образования </w:t>
            </w:r>
          </w:p>
          <w:p w14:paraId="22040000">
            <w:pPr>
              <w:rPr>
                <w:rFonts w:ascii="Times New Roman" w:hAnsi="Times New Roman"/>
                <w:sz w:val="28"/>
              </w:rPr>
            </w:pPr>
            <w:r>
              <w:rPr>
                <w:rFonts w:ascii="Times New Roman" w:hAnsi="Times New Roman"/>
                <w:sz w:val="28"/>
              </w:rPr>
              <w:t>г. Волгодонска</w:t>
            </w:r>
          </w:p>
        </w:tc>
        <w:tc>
          <w:tcPr>
            <w:tcW w:type="dxa" w:w="1548"/>
            <w:gridSpan w:val="6"/>
            <w:tcBorders>
              <w:top w:color="000000" w:sz="4" w:val="single"/>
              <w:left w:color="000000" w:sz="4" w:val="single"/>
              <w:bottom w:color="000000" w:sz="4" w:val="single"/>
              <w:right w:color="000000" w:sz="4" w:val="single"/>
            </w:tcBorders>
            <w:shd w:fill="FFFFFF" w:val="clear"/>
          </w:tcPr>
          <w:p w14:paraId="23040000">
            <w:pPr>
              <w:ind w:hanging="49" w:left="49"/>
              <w:jc w:val="center"/>
              <w:rPr>
                <w:rFonts w:ascii="Times New Roman" w:hAnsi="Times New Roman"/>
                <w:sz w:val="28"/>
              </w:rPr>
            </w:pPr>
            <w:r>
              <w:rPr>
                <w:rFonts w:ascii="Times New Roman" w:hAnsi="Times New Roman"/>
                <w:sz w:val="28"/>
              </w:rPr>
              <w:t>весь период</w:t>
            </w:r>
          </w:p>
        </w:tc>
        <w:tc>
          <w:tcPr>
            <w:tcW w:type="dxa" w:w="1141"/>
            <w:tcBorders>
              <w:top w:color="000000" w:sz="4" w:val="single"/>
              <w:left w:color="000000" w:sz="4" w:val="single"/>
              <w:bottom w:color="000000" w:sz="4" w:val="single"/>
              <w:right w:color="000000" w:sz="4" w:val="single"/>
            </w:tcBorders>
            <w:shd w:fill="FFFFFF" w:val="clear"/>
          </w:tcPr>
          <w:p w14:paraId="24040000">
            <w:pPr>
              <w:ind w:hanging="49" w:left="49"/>
              <w:rPr>
                <w:rFonts w:ascii="Times New Roman" w:hAnsi="Times New Roman"/>
                <w:sz w:val="28"/>
              </w:rPr>
            </w:pPr>
            <w:r>
              <w:rPr>
                <w:rFonts w:ascii="Times New Roman" w:hAnsi="Times New Roman"/>
                <w:sz w:val="28"/>
              </w:rPr>
              <w:t>Все субъекты малого и среднего предпринимательства, оказывающие услуги для детей дошкольного возраста имеют лицензию на осуществление образовательной деятельности по программе дошкольного образования. Индивидуальным  предпринимателям была оказана консультативная помощь специалистами Управления образования г.Волгодонска.</w:t>
            </w:r>
          </w:p>
        </w:tc>
      </w:tr>
      <w:tr>
        <w:trPr>
          <w:trHeight w:hRule="atLeast" w:val="582"/>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25040000">
            <w:pPr>
              <w:ind/>
              <w:jc w:val="center"/>
              <w:rPr>
                <w:rFonts w:ascii="Times New Roman" w:hAnsi="Times New Roman"/>
                <w:b w:val="1"/>
                <w:sz w:val="28"/>
              </w:rPr>
            </w:pPr>
            <w:r>
              <w:rPr>
                <w:rFonts w:ascii="Times New Roman" w:hAnsi="Times New Roman"/>
                <w:b w:val="1"/>
                <w:sz w:val="28"/>
              </w:rPr>
              <w:t>1.4 Рынок услуг детского отдыха и оздоровления</w:t>
            </w:r>
          </w:p>
        </w:tc>
      </w:tr>
      <w:tr>
        <w:tc>
          <w:tcPr>
            <w:tcW w:type="dxa" w:w="14683"/>
            <w:gridSpan w:val="19"/>
            <w:tcBorders>
              <w:top w:color="000000" w:sz="4" w:val="single"/>
              <w:left w:color="000000" w:sz="4" w:val="single"/>
              <w:bottom w:color="000000" w:sz="4" w:val="single"/>
              <w:right w:color="000000" w:sz="4" w:val="single"/>
            </w:tcBorders>
            <w:shd w:fill="FFFFFF" w:val="clear"/>
          </w:tcPr>
          <w:p w14:paraId="26040000">
            <w:pPr>
              <w:ind w:firstLine="709" w:left="0"/>
              <w:jc w:val="both"/>
              <w:rPr>
                <w:rFonts w:ascii="Times New Roman" w:hAnsi="Times New Roman"/>
                <w:sz w:val="28"/>
              </w:rPr>
            </w:pPr>
            <w:r>
              <w:rPr>
                <w:rFonts w:ascii="Times New Roman" w:hAnsi="Times New Roman"/>
                <w:sz w:val="28"/>
              </w:rPr>
              <w:t>В 2021 году летняя оздоровительная кампания была проведена в условиях сохранения рисков распространения новой коронавирусной инфекции.</w:t>
            </w:r>
          </w:p>
          <w:p w14:paraId="27040000">
            <w:pPr>
              <w:widowControl w:val="0"/>
              <w:ind w:firstLine="709" w:left="0"/>
              <w:contextualSpacing w:val="1"/>
              <w:jc w:val="both"/>
              <w:rPr>
                <w:rFonts w:ascii="Times New Roman" w:hAnsi="Times New Roman"/>
                <w:sz w:val="28"/>
              </w:rPr>
            </w:pPr>
            <w:r>
              <w:rPr>
                <w:rFonts w:ascii="Times New Roman" w:hAnsi="Times New Roman"/>
                <w:sz w:val="28"/>
              </w:rPr>
              <w:t>Деятельность лагерей «Ивушка», «Маяк», «Пилигрим» в связи с невозможностью выполнения Рекомендаций по организации работы организаций отдыха детей и их оздоровления в условиях сохранения рисков распространения COVID-19 в летний период 2021 года не осуществлялась.</w:t>
            </w:r>
          </w:p>
          <w:p w14:paraId="28040000">
            <w:pPr>
              <w:ind w:firstLine="709" w:left="0"/>
              <w:jc w:val="both"/>
              <w:rPr>
                <w:rFonts w:ascii="Times New Roman" w:hAnsi="Times New Roman"/>
                <w:sz w:val="28"/>
              </w:rPr>
            </w:pPr>
            <w:r>
              <w:rPr>
                <w:rFonts w:ascii="Times New Roman" w:hAnsi="Times New Roman"/>
                <w:sz w:val="28"/>
              </w:rPr>
              <w:t>На базе общеобразовательных учреждений в две смены была организована работа 18 лагерей с дневным пребыванием детей. Охват – 2165человек</w:t>
            </w:r>
            <w:r>
              <w:rPr>
                <w:rFonts w:ascii="Times New Roman" w:hAnsi="Times New Roman"/>
                <w:i w:val="1"/>
                <w:sz w:val="28"/>
              </w:rPr>
              <w:t>.</w:t>
            </w:r>
            <w:r>
              <w:rPr>
                <w:rFonts w:ascii="Times New Roman" w:hAnsi="Times New Roman"/>
                <w:sz w:val="28"/>
              </w:rPr>
              <w:t xml:space="preserve"> </w:t>
            </w:r>
          </w:p>
          <w:p w14:paraId="29040000">
            <w:pPr>
              <w:ind w:firstLine="709" w:left="0"/>
              <w:jc w:val="both"/>
              <w:rPr>
                <w:rFonts w:ascii="Times New Roman" w:hAnsi="Times New Roman"/>
                <w:sz w:val="28"/>
              </w:rPr>
            </w:pPr>
            <w:r>
              <w:rPr>
                <w:rFonts w:ascii="Times New Roman" w:hAnsi="Times New Roman"/>
                <w:sz w:val="28"/>
              </w:rPr>
              <w:t>На организацию летнего отдыха и оздоровления детей в лагерях с дневным пребыванием на базе общеобразовательных учреждений в 2021 году в рамках софинансирования расходных обязательств были предусмотрены субсидии областного и местного бюджетов в размере 8202,8 тыс. руб. (в том числе 6160,3 тыс.руб. за счет средств областного бюджета, 2042,5 тыс.руб. за счет средств местного бюджета).</w:t>
            </w:r>
          </w:p>
          <w:p w14:paraId="2A040000">
            <w:pPr>
              <w:ind w:firstLine="709" w:left="0"/>
              <w:jc w:val="both"/>
              <w:rPr>
                <w:rFonts w:ascii="Times New Roman" w:hAnsi="Times New Roman"/>
                <w:sz w:val="28"/>
              </w:rPr>
            </w:pPr>
            <w:r>
              <w:rPr>
                <w:rFonts w:ascii="Times New Roman" w:hAnsi="Times New Roman"/>
                <w:sz w:val="28"/>
              </w:rPr>
              <w:t xml:space="preserve">В летний период были организованы: </w:t>
            </w:r>
          </w:p>
          <w:p w14:paraId="2B040000">
            <w:pPr>
              <w:ind w:firstLine="709" w:left="0"/>
              <w:jc w:val="both"/>
              <w:rPr>
                <w:rFonts w:ascii="Times New Roman" w:hAnsi="Times New Roman"/>
                <w:i w:val="1"/>
                <w:sz w:val="28"/>
              </w:rPr>
            </w:pPr>
            <w:r>
              <w:rPr>
                <w:rFonts w:ascii="Times New Roman" w:hAnsi="Times New Roman"/>
                <w:sz w:val="28"/>
              </w:rPr>
              <w:t>- 14 летних оздоровительных площадок без организации для 610 детей;</w:t>
            </w:r>
          </w:p>
          <w:p w14:paraId="2C040000">
            <w:pPr>
              <w:ind w:firstLine="709" w:left="0"/>
              <w:jc w:val="both"/>
              <w:rPr>
                <w:rFonts w:ascii="Times New Roman" w:hAnsi="Times New Roman"/>
                <w:sz w:val="28"/>
              </w:rPr>
            </w:pPr>
            <w:r>
              <w:rPr>
                <w:rFonts w:ascii="Times New Roman" w:hAnsi="Times New Roman"/>
                <w:sz w:val="28"/>
              </w:rPr>
              <w:t>- 45 профильных отрядов для 665детей;</w:t>
            </w:r>
          </w:p>
          <w:p w14:paraId="2D040000">
            <w:pPr>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летняя оздоровительная площадка «Особенное лето» для 22 детей </w:t>
            </w:r>
            <w:r>
              <w:rPr>
                <w:rFonts w:ascii="Times New Roman" w:hAnsi="Times New Roman"/>
                <w:sz w:val="28"/>
                <w:highlight w:val="white"/>
              </w:rPr>
              <w:t xml:space="preserve">с ограниченными возможностями </w:t>
            </w:r>
            <w:r>
              <w:rPr>
                <w:rFonts w:ascii="Times New Roman" w:hAnsi="Times New Roman"/>
                <w:sz w:val="28"/>
              </w:rPr>
              <w:t>здоровья.</w:t>
            </w:r>
          </w:p>
          <w:p w14:paraId="2E040000">
            <w:pPr>
              <w:ind w:firstLine="709" w:left="0"/>
              <w:jc w:val="both"/>
              <w:rPr>
                <w:rFonts w:ascii="Times New Roman" w:hAnsi="Times New Roman"/>
                <w:sz w:val="28"/>
              </w:rPr>
            </w:pPr>
            <w:r>
              <w:rPr>
                <w:rFonts w:ascii="Times New Roman" w:hAnsi="Times New Roman"/>
                <w:sz w:val="28"/>
              </w:rPr>
              <w:t>-  в летний период 2021 года на базе МБУДО «Станция юных техников» г.Волгодонска были организованы творческие мастерские «Калейдоскоп затей и интересных идей» для 286 детей.</w:t>
            </w:r>
          </w:p>
          <w:p w14:paraId="2F040000">
            <w:pPr>
              <w:pStyle w:val="Style_3"/>
              <w:spacing w:after="0" w:before="0"/>
              <w:ind w:firstLine="708" w:left="0"/>
              <w:jc w:val="both"/>
              <w:rPr>
                <w:sz w:val="28"/>
              </w:rPr>
            </w:pPr>
            <w:r>
              <w:rPr>
                <w:sz w:val="28"/>
              </w:rPr>
              <w:t>Кроме того, в течение всего летнего периода была организована работа мобильной «Детско-юношеская автошкола «Академия дорожной безопасности». Мобильную автошколу посетили 2210 детей из 18 общеобразовательных учреждений города.</w:t>
            </w:r>
          </w:p>
          <w:p w14:paraId="30040000">
            <w:pPr>
              <w:ind/>
              <w:jc w:val="both"/>
              <w:rPr>
                <w:rFonts w:ascii="Times New Roman" w:hAnsi="Times New Roman"/>
                <w:color w:val="FF0000"/>
                <w:sz w:val="28"/>
              </w:rPr>
            </w:pPr>
            <w:r>
              <w:rPr>
                <w:rFonts w:ascii="Times New Roman" w:hAnsi="Times New Roman"/>
                <w:sz w:val="28"/>
              </w:rPr>
              <w:t>Кроме того, услугами дополнительного образования детей в летний период было охвачено 6388 несовершеннолетних.</w:t>
            </w:r>
          </w:p>
        </w:tc>
      </w:tr>
      <w:tr>
        <w:tc>
          <w:tcPr>
            <w:tcW w:type="dxa" w:w="905"/>
            <w:tcBorders>
              <w:top w:color="000000" w:sz="4" w:val="single"/>
              <w:left w:color="000000" w:sz="4" w:val="single"/>
              <w:bottom w:color="000000" w:sz="4" w:val="single"/>
              <w:right w:color="000000" w:sz="4" w:val="single"/>
            </w:tcBorders>
            <w:shd w:fill="FFFFFF" w:val="clear"/>
          </w:tcPr>
          <w:p w14:paraId="31040000">
            <w:pPr>
              <w:spacing w:line="240" w:lineRule="auto"/>
              <w:ind w:firstLine="0" w:left="-57"/>
              <w:jc w:val="center"/>
              <w:rPr>
                <w:rFonts w:ascii="Times New Roman" w:hAnsi="Times New Roman"/>
                <w:color w:val="000000"/>
                <w:sz w:val="28"/>
              </w:rPr>
            </w:pPr>
            <w:r>
              <w:rPr>
                <w:rFonts w:ascii="Times New Roman" w:hAnsi="Times New Roman"/>
                <w:color w:val="000000"/>
                <w:sz w:val="28"/>
              </w:rPr>
              <w:t>1.4.1.</w:t>
            </w:r>
          </w:p>
        </w:tc>
        <w:tc>
          <w:tcPr>
            <w:tcW w:type="dxa" w:w="4502"/>
            <w:gridSpan w:val="2"/>
            <w:tcBorders>
              <w:top w:color="000000" w:sz="4" w:val="single"/>
              <w:left w:color="000000" w:sz="4" w:val="single"/>
              <w:bottom w:color="000000" w:sz="4" w:val="single"/>
              <w:right w:color="000000" w:sz="4" w:val="single"/>
            </w:tcBorders>
            <w:shd w:fill="FFFFFF" w:val="clear"/>
          </w:tcPr>
          <w:p w14:paraId="32040000">
            <w:pPr>
              <w:keepNext w:val="1"/>
              <w:keepLines w:val="1"/>
              <w:spacing w:line="240" w:lineRule="auto"/>
              <w:ind/>
              <w:contextualSpacing w:val="1"/>
              <w:rPr>
                <w:rFonts w:ascii="Times New Roman" w:hAnsi="Times New Roman"/>
                <w:color w:val="000000"/>
                <w:sz w:val="28"/>
              </w:rPr>
            </w:pPr>
            <w:r>
              <w:rPr>
                <w:rFonts w:ascii="Times New Roman" w:hAnsi="Times New Roman"/>
                <w:color w:val="000000"/>
                <w:sz w:val="28"/>
              </w:rPr>
              <w:t xml:space="preserve">Проведение </w:t>
            </w:r>
            <w:r>
              <w:rPr>
                <w:rFonts w:ascii="Times New Roman" w:hAnsi="Times New Roman"/>
                <w:color w:val="000000"/>
                <w:sz w:val="28"/>
              </w:rPr>
              <w:t>информационно-разъяснительной работы, «Горячей линии», онлайн-консультирования, личных приемов</w:t>
            </w:r>
            <w:r>
              <w:rPr>
                <w:rFonts w:ascii="Times New Roman" w:hAnsi="Times New Roman"/>
                <w:color w:val="000000"/>
                <w:sz w:val="28"/>
              </w:rPr>
              <w:t xml:space="preserve"> </w:t>
            </w:r>
            <w:r>
              <w:rPr>
                <w:rFonts w:ascii="Times New Roman" w:hAnsi="Times New Roman"/>
                <w:color w:val="000000"/>
                <w:sz w:val="28"/>
              </w:rPr>
              <w:t>по вопросам организации отдыха и оздоровления детей</w:t>
            </w:r>
          </w:p>
        </w:tc>
        <w:tc>
          <w:tcPr>
            <w:tcW w:type="dxa" w:w="3458"/>
            <w:gridSpan w:val="2"/>
            <w:tcBorders>
              <w:top w:color="000000" w:sz="4" w:val="single"/>
              <w:left w:color="000000" w:sz="4" w:val="single"/>
              <w:bottom w:color="000000" w:sz="4" w:val="single"/>
              <w:right w:color="000000" w:sz="4" w:val="single"/>
            </w:tcBorders>
            <w:shd w:fill="FFFFFF" w:val="clear"/>
          </w:tcPr>
          <w:p w14:paraId="33040000">
            <w:pPr>
              <w:keepNext w:val="1"/>
              <w:keepLines w:val="1"/>
              <w:spacing w:line="240" w:lineRule="auto"/>
              <w:ind/>
              <w:rPr>
                <w:rFonts w:ascii="Times New Roman" w:hAnsi="Times New Roman"/>
                <w:color w:val="000000"/>
                <w:sz w:val="28"/>
              </w:rPr>
            </w:pPr>
            <w:r>
              <w:rPr>
                <w:rFonts w:ascii="Times New Roman" w:hAnsi="Times New Roman"/>
                <w:color w:val="000000"/>
                <w:sz w:val="28"/>
              </w:rPr>
              <w:t>информирование по вопросам организации отдыха и оздоровления детей</w:t>
            </w:r>
          </w:p>
        </w:tc>
        <w:tc>
          <w:tcPr>
            <w:tcW w:type="dxa" w:w="3129"/>
            <w:gridSpan w:val="7"/>
            <w:tcBorders>
              <w:top w:color="000000" w:sz="4" w:val="single"/>
              <w:left w:color="000000" w:sz="4" w:val="single"/>
              <w:bottom w:color="000000" w:sz="4" w:val="single"/>
              <w:right w:color="000000" w:sz="4" w:val="single"/>
            </w:tcBorders>
            <w:shd w:fill="FFFFFF" w:val="clear"/>
          </w:tcPr>
          <w:p w14:paraId="34040000">
            <w:pPr>
              <w:keepNext w:val="1"/>
              <w:keepLines w:val="1"/>
              <w:spacing w:line="240" w:lineRule="auto"/>
              <w:ind/>
              <w:rPr>
                <w:rFonts w:ascii="Times New Roman" w:hAnsi="Times New Roman"/>
                <w:color w:val="000000"/>
                <w:sz w:val="28"/>
              </w:rPr>
            </w:pPr>
            <w:r>
              <w:rPr>
                <w:rFonts w:ascii="Times New Roman" w:hAnsi="Times New Roman"/>
                <w:color w:val="000000"/>
                <w:sz w:val="28"/>
              </w:rPr>
              <w:t>Департамент труда и социального развития Администрации города Волгодонска</w:t>
            </w:r>
          </w:p>
        </w:tc>
        <w:tc>
          <w:tcPr>
            <w:tcW w:type="dxa" w:w="1548"/>
            <w:gridSpan w:val="6"/>
            <w:tcBorders>
              <w:top w:color="000000" w:sz="4" w:val="single"/>
              <w:left w:color="000000" w:sz="4" w:val="single"/>
              <w:bottom w:color="000000" w:sz="4" w:val="single"/>
              <w:right w:color="000000" w:sz="4" w:val="single"/>
            </w:tcBorders>
            <w:shd w:fill="FFFFFF" w:val="clear"/>
          </w:tcPr>
          <w:p w14:paraId="35040000">
            <w:pPr>
              <w:spacing w:line="240" w:lineRule="auto"/>
              <w:ind/>
              <w:jc w:val="center"/>
              <w:rPr>
                <w:rFonts w:ascii="Times New Roman" w:hAnsi="Times New Roman"/>
                <w:color w:val="000000"/>
                <w:sz w:val="28"/>
              </w:rPr>
            </w:pPr>
            <w:r>
              <w:rPr>
                <w:rFonts w:ascii="Times New Roman" w:hAnsi="Times New Roman"/>
                <w:color w:val="000000"/>
                <w:sz w:val="28"/>
              </w:rPr>
              <w:t>весь период</w:t>
            </w:r>
          </w:p>
        </w:tc>
        <w:tc>
          <w:tcPr>
            <w:tcW w:type="dxa" w:w="1141"/>
            <w:tcBorders>
              <w:top w:color="000000" w:sz="4" w:val="single"/>
              <w:left w:color="000000" w:sz="4" w:val="single"/>
              <w:bottom w:color="000000" w:sz="4" w:val="single"/>
              <w:right w:color="000000" w:sz="4" w:val="single"/>
            </w:tcBorders>
            <w:shd w:fill="FFFFFF" w:val="clear"/>
          </w:tcPr>
          <w:p w14:paraId="36040000">
            <w:pPr>
              <w:spacing w:line="240" w:lineRule="auto"/>
              <w:ind/>
              <w:rPr>
                <w:rFonts w:ascii="Times New Roman" w:hAnsi="Times New Roman"/>
                <w:color w:val="000000"/>
                <w:sz w:val="28"/>
              </w:rPr>
            </w:pPr>
            <w:r>
              <w:rPr>
                <w:rFonts w:ascii="Times New Roman" w:hAnsi="Times New Roman"/>
                <w:color w:val="000000"/>
                <w:sz w:val="28"/>
              </w:rPr>
              <w:t xml:space="preserve">Проводится  </w:t>
            </w:r>
            <w:r>
              <w:rPr>
                <w:rFonts w:ascii="Times New Roman" w:hAnsi="Times New Roman"/>
                <w:color w:val="000000"/>
                <w:sz w:val="28"/>
              </w:rPr>
              <w:t xml:space="preserve">информационно-разъяснительная работа </w:t>
            </w:r>
            <w:r>
              <w:rPr>
                <w:rFonts w:ascii="Times New Roman" w:hAnsi="Times New Roman"/>
                <w:color w:val="000000"/>
                <w:sz w:val="28"/>
              </w:rPr>
              <w:t>по вопросам организации отдыха и оздоровления детей</w:t>
            </w:r>
            <w:r>
              <w:rPr>
                <w:rFonts w:ascii="Times New Roman" w:hAnsi="Times New Roman"/>
                <w:color w:val="000000"/>
                <w:sz w:val="28"/>
              </w:rPr>
              <w:t xml:space="preserve"> на школьных собраниях, «Горячей линии», онлайн-консультирования в социальных сетях департамента труда и социального развития, личных приемов</w:t>
            </w:r>
            <w:r>
              <w:rPr>
                <w:rFonts w:ascii="Times New Roman" w:hAnsi="Times New Roman"/>
                <w:color w:val="000000"/>
                <w:sz w:val="28"/>
              </w:rPr>
              <w:t xml:space="preserve"> </w:t>
            </w:r>
            <w:r>
              <w:rPr>
                <w:rFonts w:ascii="Times New Roman" w:hAnsi="Times New Roman"/>
                <w:color w:val="000000"/>
                <w:sz w:val="28"/>
              </w:rPr>
              <w:t xml:space="preserve">по вопросам организации отдыха и оздоровления детей, на сайте </w:t>
            </w:r>
            <w:r>
              <w:rPr>
                <w:rStyle w:val="Style_19_ch"/>
                <w:rFonts w:ascii="Times New Roman" w:hAnsi="Times New Roman"/>
                <w:color w:val="000000"/>
                <w:sz w:val="28"/>
              </w:rPr>
              <w:fldChar w:fldCharType="begin"/>
            </w:r>
            <w:r>
              <w:rPr>
                <w:rStyle w:val="Style_19_ch"/>
                <w:rFonts w:ascii="Times New Roman" w:hAnsi="Times New Roman"/>
                <w:color w:val="000000"/>
                <w:sz w:val="28"/>
              </w:rPr>
              <w:instrText>HYPERLINK "http://dtsr-volgodonsk.ru/"</w:instrText>
            </w:r>
            <w:r>
              <w:rPr>
                <w:rStyle w:val="Style_19_ch"/>
                <w:rFonts w:ascii="Times New Roman" w:hAnsi="Times New Roman"/>
                <w:color w:val="000000"/>
                <w:sz w:val="28"/>
              </w:rPr>
              <w:fldChar w:fldCharType="separate"/>
            </w:r>
            <w:r>
              <w:rPr>
                <w:rStyle w:val="Style_19_ch"/>
                <w:rFonts w:ascii="Times New Roman" w:hAnsi="Times New Roman"/>
                <w:color w:val="000000"/>
                <w:sz w:val="28"/>
              </w:rPr>
              <w:t>http://dtsr-volgodonsk.ru/</w:t>
            </w:r>
            <w:r>
              <w:rPr>
                <w:rStyle w:val="Style_19_ch"/>
                <w:rFonts w:ascii="Times New Roman" w:hAnsi="Times New Roman"/>
                <w:color w:val="000000"/>
                <w:sz w:val="28"/>
              </w:rPr>
              <w:fldChar w:fldCharType="end"/>
            </w:r>
            <w:r>
              <w:rPr>
                <w:rFonts w:ascii="Times New Roman" w:hAnsi="Times New Roman"/>
                <w:color w:val="000000"/>
                <w:sz w:val="28"/>
              </w:rPr>
              <w:t xml:space="preserve"> в течении 2021 года было размещено 25 публикаций </w:t>
            </w:r>
          </w:p>
        </w:tc>
      </w:tr>
      <w:tr>
        <w:trPr>
          <w:trHeight w:hRule="atLeast" w:val="651"/>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37040000">
            <w:pPr>
              <w:keepNext w:val="1"/>
              <w:keepLines w:val="1"/>
              <w:spacing w:line="240" w:lineRule="auto"/>
              <w:ind/>
              <w:jc w:val="center"/>
              <w:rPr>
                <w:rFonts w:ascii="Times New Roman" w:hAnsi="Times New Roman"/>
                <w:b w:val="1"/>
                <w:color w:val="000000"/>
                <w:sz w:val="28"/>
              </w:rPr>
            </w:pPr>
            <w:r>
              <w:rPr>
                <w:rFonts w:ascii="Times New Roman" w:hAnsi="Times New Roman"/>
                <w:b w:val="1"/>
                <w:color w:val="000000"/>
                <w:sz w:val="28"/>
              </w:rPr>
              <w:t>1.5 Рынок услуг дополнительного образования детей</w:t>
            </w:r>
          </w:p>
        </w:tc>
      </w:tr>
      <w:tr>
        <w:tc>
          <w:tcPr>
            <w:tcW w:type="dxa" w:w="14683"/>
            <w:gridSpan w:val="19"/>
            <w:tcBorders>
              <w:top w:color="000000" w:sz="4" w:val="single"/>
              <w:left w:color="000000" w:sz="4" w:val="single"/>
              <w:bottom w:color="000000" w:sz="4" w:val="single"/>
              <w:right w:color="000000" w:sz="4" w:val="single"/>
            </w:tcBorders>
            <w:shd w:fill="FFFFFF" w:val="clear"/>
          </w:tcPr>
          <w:p w14:paraId="38040000">
            <w:pPr>
              <w:ind w:firstLine="567" w:left="0"/>
              <w:jc w:val="both"/>
              <w:rPr>
                <w:rFonts w:ascii="Times New Roman" w:hAnsi="Times New Roman"/>
                <w:b w:val="1"/>
                <w:sz w:val="28"/>
              </w:rPr>
            </w:pPr>
            <w:r>
              <w:rPr>
                <w:rFonts w:ascii="Times New Roman" w:hAnsi="Times New Roman"/>
                <w:sz w:val="28"/>
              </w:rPr>
              <w:t>На бесплатной основе за счет средств городского бюджета услуги по дополнительному образованию в муниципальных образовательных учреждениях дополнительного образования детей получают 20 386 воспитанников. Из них  в учреждениях дополнительного образования обучаются  дети, оказавшиеся в «трудной жизненной ситуации», «группы риска» - 405 чел., дети-сироты, оставшихся без попечения родителей – 24 чел. Также имеют возможность получать услуги дополнительного образования в учреждениях дополнительного образования города в различных кружках, секциях дети с ОВЗ – 125 чел. и  дети-инвалиды –91 чел.</w:t>
            </w:r>
          </w:p>
          <w:p w14:paraId="39040000">
            <w:pPr>
              <w:ind w:firstLine="709" w:left="0"/>
              <w:jc w:val="both"/>
              <w:rPr>
                <w:rFonts w:ascii="Times New Roman" w:hAnsi="Times New Roman"/>
                <w:sz w:val="28"/>
              </w:rPr>
            </w:pPr>
            <w:r>
              <w:rPr>
                <w:rFonts w:ascii="Times New Roman" w:hAnsi="Times New Roman"/>
                <w:sz w:val="28"/>
              </w:rPr>
              <w:t>В объединениях, организованных руководителями муниципальных образовательных учреждений общего и дошкольного образования, в 2021 году занималось 10559 учащихся и воспитанников.</w:t>
            </w:r>
          </w:p>
          <w:p w14:paraId="3A040000">
            <w:pPr>
              <w:ind w:firstLine="709" w:left="0"/>
              <w:jc w:val="both"/>
              <w:rPr>
                <w:rFonts w:ascii="Times New Roman" w:hAnsi="Times New Roman"/>
                <w:sz w:val="28"/>
              </w:rPr>
            </w:pPr>
            <w:r>
              <w:rPr>
                <w:rFonts w:ascii="Times New Roman" w:hAnsi="Times New Roman"/>
                <w:sz w:val="28"/>
              </w:rPr>
              <w:t xml:space="preserve">В 2021 году предоставляются услуги дополнительного образования для 82,7 % детей в возрасте от 5 до 18 лет, проживающих на территории муниципального образования. Все услуги предоставляются на бесплатной основе в рамках муниципального задания. </w:t>
            </w:r>
          </w:p>
          <w:p w14:paraId="3B040000">
            <w:pPr>
              <w:keepNext w:val="1"/>
              <w:keepLines w:val="1"/>
              <w:spacing w:line="240" w:lineRule="auto"/>
              <w:ind/>
              <w:jc w:val="both"/>
              <w:rPr>
                <w:rFonts w:ascii="Times New Roman" w:hAnsi="Times New Roman"/>
                <w:color w:val="FF0000"/>
                <w:sz w:val="28"/>
              </w:rPr>
            </w:pPr>
            <w:r>
              <w:rPr>
                <w:rFonts w:ascii="Times New Roman" w:hAnsi="Times New Roman"/>
                <w:sz w:val="28"/>
              </w:rPr>
              <w:t>В качестве основной проблемы рынка услуг дополнительного образования детей можно отметить недостаточный уровень методической компетенции педагогического и административного корпуса частных организаций.</w:t>
            </w:r>
          </w:p>
        </w:tc>
      </w:tr>
      <w:tr>
        <w:tc>
          <w:tcPr>
            <w:tcW w:type="dxa" w:w="905"/>
            <w:tcBorders>
              <w:top w:color="000000" w:sz="4" w:val="single"/>
              <w:left w:color="000000" w:sz="4" w:val="single"/>
              <w:bottom w:color="000000" w:sz="4" w:val="single"/>
              <w:right w:color="000000" w:sz="4" w:val="single"/>
            </w:tcBorders>
            <w:shd w:fill="FFFFFF" w:val="clear"/>
          </w:tcPr>
          <w:p w14:paraId="3C040000">
            <w:pPr>
              <w:ind/>
              <w:jc w:val="center"/>
              <w:rPr>
                <w:rFonts w:ascii="Times New Roman" w:hAnsi="Times New Roman"/>
                <w:color w:val="000000"/>
                <w:sz w:val="28"/>
              </w:rPr>
            </w:pPr>
            <w:r>
              <w:rPr>
                <w:rFonts w:ascii="Times New Roman" w:hAnsi="Times New Roman"/>
                <w:color w:val="000000"/>
                <w:sz w:val="28"/>
              </w:rPr>
              <w:t>1.5.1.</w:t>
            </w:r>
          </w:p>
        </w:tc>
        <w:tc>
          <w:tcPr>
            <w:tcW w:type="dxa" w:w="4502"/>
            <w:gridSpan w:val="2"/>
            <w:tcBorders>
              <w:top w:color="000000" w:sz="4" w:val="single"/>
              <w:left w:color="000000" w:sz="4" w:val="single"/>
              <w:bottom w:color="000000" w:sz="4" w:val="single"/>
              <w:right w:color="000000" w:sz="4" w:val="single"/>
            </w:tcBorders>
            <w:shd w:fill="FFFFFF" w:val="clear"/>
          </w:tcPr>
          <w:p w14:paraId="3D040000">
            <w:pPr>
              <w:rPr>
                <w:rFonts w:ascii="Times New Roman" w:hAnsi="Times New Roman"/>
                <w:color w:val="000000"/>
                <w:sz w:val="28"/>
              </w:rPr>
            </w:pPr>
            <w:r>
              <w:rPr>
                <w:rFonts w:ascii="Times New Roman" w:hAnsi="Times New Roman"/>
                <w:color w:val="000000"/>
                <w:sz w:val="28"/>
              </w:rPr>
              <w:t xml:space="preserve">Проведение конференций, семинаров, мастер-классов </w:t>
            </w:r>
          </w:p>
          <w:p w14:paraId="3E040000">
            <w:pPr>
              <w:rPr>
                <w:rFonts w:ascii="Times New Roman" w:hAnsi="Times New Roman"/>
                <w:color w:val="000000"/>
                <w:sz w:val="28"/>
              </w:rPr>
            </w:pPr>
            <w:r>
              <w:rPr>
                <w:rFonts w:ascii="Times New Roman" w:hAnsi="Times New Roman"/>
                <w:color w:val="000000"/>
                <w:sz w:val="28"/>
              </w:rPr>
              <w:t>с участием негосударственных организаций дополнительного образования детей</w:t>
            </w:r>
          </w:p>
        </w:tc>
        <w:tc>
          <w:tcPr>
            <w:tcW w:type="dxa" w:w="3458"/>
            <w:gridSpan w:val="2"/>
            <w:tcBorders>
              <w:top w:color="000000" w:sz="4" w:val="single"/>
              <w:left w:color="000000" w:sz="4" w:val="single"/>
              <w:bottom w:color="000000" w:sz="4" w:val="single"/>
              <w:right w:color="000000" w:sz="4" w:val="single"/>
            </w:tcBorders>
            <w:shd w:fill="FFFFFF" w:val="clear"/>
          </w:tcPr>
          <w:p w14:paraId="3F040000">
            <w:pPr>
              <w:rPr>
                <w:rFonts w:ascii="Times New Roman" w:hAnsi="Times New Roman"/>
                <w:color w:val="000000"/>
                <w:sz w:val="28"/>
              </w:rPr>
            </w:pPr>
            <w:r>
              <w:rPr>
                <w:rFonts w:ascii="Times New Roman" w:hAnsi="Times New Roman"/>
                <w:color w:val="000000"/>
                <w:sz w:val="28"/>
              </w:rPr>
              <w:t>повышение качества образовательных услуг в сфере дополнительного образования</w:t>
            </w:r>
          </w:p>
        </w:tc>
        <w:tc>
          <w:tcPr>
            <w:tcW w:type="dxa" w:w="1763"/>
            <w:gridSpan w:val="2"/>
            <w:tcBorders>
              <w:top w:color="000000" w:sz="4" w:val="single"/>
              <w:left w:color="000000" w:sz="4" w:val="single"/>
              <w:bottom w:color="000000" w:sz="4" w:val="single"/>
              <w:right w:color="000000" w:sz="4" w:val="single"/>
            </w:tcBorders>
            <w:shd w:fill="FFFFFF" w:val="clear"/>
          </w:tcPr>
          <w:p w14:paraId="40040000">
            <w:pPr>
              <w:rPr>
                <w:rFonts w:ascii="Times New Roman" w:hAnsi="Times New Roman"/>
                <w:color w:val="000000"/>
                <w:sz w:val="28"/>
              </w:rPr>
            </w:pPr>
            <w:r>
              <w:rPr>
                <w:rFonts w:ascii="Times New Roman" w:hAnsi="Times New Roman"/>
                <w:color w:val="000000"/>
                <w:sz w:val="28"/>
              </w:rPr>
              <w:t xml:space="preserve">Управление образования </w:t>
            </w:r>
          </w:p>
          <w:p w14:paraId="41040000">
            <w:pPr>
              <w:rPr>
                <w:rFonts w:ascii="Times New Roman" w:hAnsi="Times New Roman"/>
                <w:color w:val="000000"/>
                <w:sz w:val="28"/>
              </w:rPr>
            </w:pPr>
            <w:r>
              <w:rPr>
                <w:rFonts w:ascii="Times New Roman" w:hAnsi="Times New Roman"/>
                <w:color w:val="000000"/>
                <w:sz w:val="28"/>
              </w:rPr>
              <w:t>г. Волгодонска</w:t>
            </w:r>
          </w:p>
        </w:tc>
        <w:tc>
          <w:tcPr>
            <w:tcW w:type="dxa" w:w="1957"/>
            <w:gridSpan w:val="6"/>
            <w:tcBorders>
              <w:top w:color="000000" w:sz="4" w:val="single"/>
              <w:left w:color="000000" w:sz="4" w:val="single"/>
              <w:bottom w:color="000000" w:sz="4" w:val="single"/>
              <w:right w:color="000000" w:sz="4" w:val="single"/>
            </w:tcBorders>
            <w:shd w:fill="auto" w:val="clear"/>
          </w:tcPr>
          <w:p w14:paraId="42040000">
            <w:pPr>
              <w:ind/>
              <w:jc w:val="center"/>
              <w:rPr>
                <w:rFonts w:ascii="Times New Roman" w:hAnsi="Times New Roman"/>
                <w:color w:val="000000"/>
                <w:sz w:val="28"/>
              </w:rPr>
            </w:pPr>
            <w:r>
              <w:rPr>
                <w:rFonts w:ascii="Times New Roman" w:hAnsi="Times New Roman"/>
                <w:color w:val="000000"/>
                <w:sz w:val="28"/>
              </w:rPr>
              <w:t>весь период</w:t>
            </w:r>
          </w:p>
        </w:tc>
        <w:tc>
          <w:tcPr>
            <w:tcW w:type="dxa" w:w="2098"/>
            <w:gridSpan w:val="6"/>
            <w:tcBorders>
              <w:top w:color="000000" w:sz="4" w:val="single"/>
              <w:left w:color="000000" w:sz="4" w:val="single"/>
              <w:bottom w:color="000000" w:sz="4" w:val="single"/>
              <w:right w:color="000000" w:sz="4" w:val="single"/>
            </w:tcBorders>
          </w:tcPr>
          <w:p w14:paraId="43040000">
            <w:pPr>
              <w:rPr>
                <w:rFonts w:ascii="Times New Roman" w:hAnsi="Times New Roman"/>
                <w:color w:val="000000"/>
                <w:sz w:val="28"/>
              </w:rPr>
            </w:pPr>
            <w:r>
              <w:rPr>
                <w:rFonts w:ascii="Times New Roman" w:hAnsi="Times New Roman"/>
                <w:color w:val="000000"/>
                <w:sz w:val="28"/>
              </w:rPr>
              <w:t xml:space="preserve">В связи с ограничительными мерами по распространении коронавирусной инфекции, с целью повышения качества образовательных услуг в сфере дополнительного образования проведено в 2021г.- 3 семинаров, 3 мастер-классов </w:t>
            </w:r>
          </w:p>
          <w:p w14:paraId="44040000">
            <w:pPr>
              <w:rPr>
                <w:rFonts w:ascii="Times New Roman" w:hAnsi="Times New Roman"/>
                <w:color w:val="000000"/>
                <w:sz w:val="28"/>
              </w:rPr>
            </w:pPr>
            <w:r>
              <w:rPr>
                <w:rFonts w:ascii="Times New Roman" w:hAnsi="Times New Roman"/>
                <w:color w:val="000000"/>
                <w:sz w:val="28"/>
              </w:rPr>
              <w:t>с участием негосударственных организаций дополнительного образования детей</w:t>
            </w:r>
          </w:p>
        </w:tc>
      </w:tr>
      <w:tr>
        <w:trPr>
          <w:trHeight w:hRule="atLeast" w:val="1016"/>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45040000">
            <w:pPr>
              <w:keepNext w:val="1"/>
              <w:keepLines w:val="1"/>
              <w:spacing w:line="240" w:lineRule="auto"/>
              <w:ind/>
              <w:jc w:val="center"/>
              <w:rPr>
                <w:rFonts w:ascii="Times New Roman" w:hAnsi="Times New Roman"/>
                <w:b w:val="1"/>
                <w:color w:val="000000"/>
                <w:sz w:val="28"/>
              </w:rPr>
            </w:pPr>
            <w:r>
              <w:rPr>
                <w:rFonts w:ascii="Times New Roman" w:hAnsi="Times New Roman"/>
                <w:b w:val="1"/>
                <w:color w:val="000000"/>
                <w:sz w:val="28"/>
              </w:rPr>
              <w:t>1.6 Рынок жилищного строительства (за исключением Московского фонда реновации жилой застройки и индивидуального жилищного строительства)</w:t>
            </w:r>
          </w:p>
        </w:tc>
      </w:tr>
      <w:tr>
        <w:tc>
          <w:tcPr>
            <w:tcW w:type="dxa" w:w="14683"/>
            <w:gridSpan w:val="19"/>
            <w:tcBorders>
              <w:top w:color="000000" w:sz="4" w:val="single"/>
              <w:left w:color="000000" w:sz="4" w:val="single"/>
              <w:bottom w:color="000000" w:sz="4" w:val="single"/>
              <w:right w:color="000000" w:sz="4" w:val="single"/>
            </w:tcBorders>
            <w:shd w:fill="FFFFFF" w:val="clear"/>
          </w:tcPr>
          <w:p w14:paraId="46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 xml:space="preserve">Ситуация в сфере жилищного строительства в городе Волгодонске на протяжении последних лет имела стабильную положительную динамику. </w:t>
            </w:r>
          </w:p>
          <w:p w14:paraId="47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В соответствии с контрольной цифрой по вводу жилья, согласованной Губернатором Ростовской области, плановый показатель ввода жилья на территории муниципального образования «Город Волгодонск» на 2021 год составляет 58,59 тыс. кв. м.</w:t>
            </w:r>
          </w:p>
          <w:p w14:paraId="48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На территории муниципального образования «Город Волгодонск» за 2021 год введено в эксплуатацию 440 жилых домов общей площадью 58,94 тыс. кв. м, из них:</w:t>
            </w:r>
          </w:p>
          <w:p w14:paraId="49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- 438 индивидуальных жилых дома, общей площадью 52,91 тыс. кв.м.;</w:t>
            </w:r>
          </w:p>
          <w:p w14:paraId="4A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- 2 многоквартирных жилых дома, общей площадью 6,0303 тыс. кв.м.</w:t>
            </w:r>
          </w:p>
          <w:p w14:paraId="4B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Процент выполнения муниципальной программы по строительству и вводу жилья составляет 100,60 %.</w:t>
            </w:r>
          </w:p>
          <w:p w14:paraId="4C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Источниками финансирования строительства в городе Волгодонске по-прежнему являются собственные средства застройщиков, собственные средства дольщиков и кредиты банков. Сохраняется тенденция увеличения доли индивидуального строительства по отношению к многоквартирным жилым домам</w:t>
            </w:r>
          </w:p>
        </w:tc>
      </w:tr>
      <w:tr>
        <w:tc>
          <w:tcPr>
            <w:tcW w:type="dxa" w:w="905"/>
            <w:tcBorders>
              <w:top w:color="000000" w:sz="4" w:val="single"/>
              <w:left w:color="000000" w:sz="4" w:val="single"/>
              <w:bottom w:color="000000" w:sz="4" w:val="single"/>
              <w:right w:color="000000" w:sz="4" w:val="single"/>
            </w:tcBorders>
            <w:shd w:fill="FFFFFF" w:val="clear"/>
          </w:tcPr>
          <w:p w14:paraId="4D040000">
            <w:pPr>
              <w:ind/>
              <w:jc w:val="center"/>
              <w:rPr>
                <w:rFonts w:ascii="Times New Roman" w:hAnsi="Times New Roman"/>
                <w:color w:val="000000"/>
                <w:sz w:val="28"/>
              </w:rPr>
            </w:pPr>
            <w:r>
              <w:rPr>
                <w:rFonts w:ascii="Times New Roman" w:hAnsi="Times New Roman"/>
                <w:color w:val="000000"/>
                <w:sz w:val="28"/>
              </w:rPr>
              <w:t>1.6.1.</w:t>
            </w:r>
          </w:p>
        </w:tc>
        <w:tc>
          <w:tcPr>
            <w:tcW w:type="dxa" w:w="4502"/>
            <w:gridSpan w:val="2"/>
            <w:tcBorders>
              <w:top w:color="000000" w:sz="4" w:val="single"/>
              <w:left w:color="000000" w:sz="4" w:val="single"/>
              <w:bottom w:color="000000" w:sz="4" w:val="single"/>
              <w:right w:color="000000" w:sz="4" w:val="single"/>
            </w:tcBorders>
            <w:shd w:fill="FFFFFF" w:val="clear"/>
          </w:tcPr>
          <w:p w14:paraId="4E040000">
            <w:pPr>
              <w:ind/>
              <w:contextualSpacing w:val="1"/>
              <w:rPr>
                <w:rFonts w:ascii="Times New Roman" w:hAnsi="Times New Roman"/>
                <w:color w:val="000000"/>
                <w:sz w:val="28"/>
              </w:rPr>
            </w:pPr>
            <w:r>
              <w:rPr>
                <w:rFonts w:ascii="Times New Roman" w:hAnsi="Times New Roman"/>
                <w:color w:val="000000"/>
                <w:sz w:val="28"/>
              </w:rPr>
              <w:t>Осуществление мониторинга ввода жилья в эксплуатацию</w:t>
            </w:r>
          </w:p>
        </w:tc>
        <w:tc>
          <w:tcPr>
            <w:tcW w:type="dxa" w:w="3458"/>
            <w:gridSpan w:val="2"/>
            <w:tcBorders>
              <w:top w:color="000000" w:sz="4" w:val="single"/>
              <w:left w:color="000000" w:sz="4" w:val="single"/>
              <w:bottom w:color="000000" w:sz="4" w:val="single"/>
              <w:right w:color="000000" w:sz="4" w:val="single"/>
            </w:tcBorders>
            <w:shd w:fill="FFFFFF" w:val="clear"/>
          </w:tcPr>
          <w:p w14:paraId="4F040000">
            <w:pPr>
              <w:ind/>
              <w:contextualSpacing w:val="1"/>
              <w:rPr>
                <w:rFonts w:ascii="Times New Roman" w:hAnsi="Times New Roman"/>
                <w:color w:val="000000"/>
                <w:sz w:val="28"/>
              </w:rPr>
            </w:pPr>
            <w:r>
              <w:rPr>
                <w:rFonts w:ascii="Times New Roman" w:hAnsi="Times New Roman"/>
                <w:color w:val="000000"/>
                <w:sz w:val="28"/>
              </w:rPr>
              <w:t>контроль за ходом жилищного строительства и выполнением плановых показателей программы по вводу жилья в эксплуатацию</w:t>
            </w:r>
          </w:p>
        </w:tc>
        <w:tc>
          <w:tcPr>
            <w:tcW w:type="dxa" w:w="2462"/>
            <w:gridSpan w:val="3"/>
            <w:tcBorders>
              <w:top w:color="000000" w:sz="4" w:val="single"/>
              <w:left w:color="000000" w:sz="4" w:val="single"/>
              <w:bottom w:color="000000" w:sz="4" w:val="single"/>
              <w:right w:color="000000" w:sz="4" w:val="single"/>
            </w:tcBorders>
            <w:shd w:fill="FFFFFF" w:val="clear"/>
          </w:tcPr>
          <w:p w14:paraId="50040000">
            <w:pPr>
              <w:ind/>
              <w:contextualSpacing w:val="1"/>
              <w:rPr>
                <w:rFonts w:ascii="Times New Roman" w:hAnsi="Times New Roman"/>
                <w:color w:val="000000"/>
                <w:sz w:val="28"/>
              </w:rPr>
            </w:pPr>
            <w:r>
              <w:rPr>
                <w:rFonts w:ascii="Times New Roman" w:hAnsi="Times New Roman"/>
                <w:color w:val="000000"/>
                <w:sz w:val="28"/>
              </w:rPr>
              <w:t>Комитет по градостроительству и архитектуре Администрации города Волгодонска</w:t>
            </w:r>
          </w:p>
        </w:tc>
        <w:tc>
          <w:tcPr>
            <w:tcW w:type="dxa" w:w="1258"/>
            <w:gridSpan w:val="5"/>
            <w:tcBorders>
              <w:top w:color="000000" w:sz="4" w:val="single"/>
              <w:left w:color="000000" w:sz="4" w:val="single"/>
              <w:bottom w:color="000000" w:sz="4" w:val="single"/>
              <w:right w:color="000000" w:sz="4" w:val="single"/>
            </w:tcBorders>
            <w:shd w:fill="FFFFFF" w:val="clear"/>
          </w:tcPr>
          <w:p w14:paraId="51040000">
            <w:pPr>
              <w:pStyle w:val="Style_10"/>
              <w:ind w:firstLine="0" w:left="0"/>
              <w:jc w:val="center"/>
              <w:rPr>
                <w:rFonts w:ascii="Times New Roman" w:hAnsi="Times New Roman"/>
                <w:color w:val="000000"/>
                <w:sz w:val="28"/>
              </w:rPr>
            </w:pPr>
            <w:r>
              <w:rPr>
                <w:rFonts w:ascii="Times New Roman" w:hAnsi="Times New Roman"/>
                <w:color w:val="000000"/>
                <w:sz w:val="28"/>
              </w:rPr>
              <w:t>ежегодно</w:t>
            </w:r>
          </w:p>
        </w:tc>
        <w:tc>
          <w:tcPr>
            <w:tcW w:type="dxa" w:w="2098"/>
            <w:gridSpan w:val="6"/>
            <w:tcBorders>
              <w:top w:color="000000" w:sz="4" w:val="single"/>
              <w:left w:color="000000" w:sz="4" w:val="single"/>
              <w:bottom w:color="000000" w:sz="4" w:val="single"/>
              <w:right w:color="000000" w:sz="4" w:val="single"/>
            </w:tcBorders>
            <w:shd w:fill="FFFFFF" w:val="clear"/>
          </w:tcPr>
          <w:p w14:paraId="52040000">
            <w:pPr>
              <w:pStyle w:val="Style_10"/>
              <w:ind w:firstLine="0" w:left="0"/>
              <w:jc w:val="center"/>
              <w:rPr>
                <w:rFonts w:ascii="Times New Roman" w:hAnsi="Times New Roman"/>
                <w:color w:val="000000"/>
                <w:sz w:val="28"/>
              </w:rPr>
            </w:pPr>
            <w:r>
              <w:rPr>
                <w:rFonts w:ascii="Times New Roman" w:hAnsi="Times New Roman"/>
                <w:color w:val="000000"/>
                <w:sz w:val="28"/>
              </w:rPr>
              <w:t>См.1.6</w:t>
            </w:r>
          </w:p>
        </w:tc>
      </w:tr>
      <w:tr>
        <w:tc>
          <w:tcPr>
            <w:tcW w:type="dxa" w:w="905"/>
            <w:tcBorders>
              <w:top w:color="000000" w:sz="4" w:val="single"/>
              <w:left w:color="000000" w:sz="4" w:val="single"/>
              <w:bottom w:color="000000" w:sz="4" w:val="single"/>
              <w:right w:color="000000" w:sz="4" w:val="single"/>
            </w:tcBorders>
            <w:shd w:fill="FFFFFF" w:val="clear"/>
          </w:tcPr>
          <w:p w14:paraId="53040000">
            <w:pPr>
              <w:ind/>
              <w:jc w:val="center"/>
              <w:rPr>
                <w:rFonts w:ascii="Times New Roman" w:hAnsi="Times New Roman"/>
                <w:color w:val="000000"/>
                <w:sz w:val="28"/>
              </w:rPr>
            </w:pPr>
            <w:r>
              <w:rPr>
                <w:rFonts w:ascii="Times New Roman" w:hAnsi="Times New Roman"/>
                <w:color w:val="000000"/>
                <w:sz w:val="28"/>
              </w:rPr>
              <w:t>1.6.2.</w:t>
            </w:r>
          </w:p>
        </w:tc>
        <w:tc>
          <w:tcPr>
            <w:tcW w:type="dxa" w:w="4502"/>
            <w:gridSpan w:val="2"/>
            <w:tcBorders>
              <w:top w:color="000000" w:sz="4" w:val="single"/>
              <w:left w:color="000000" w:sz="4" w:val="single"/>
              <w:bottom w:color="000000" w:sz="4" w:val="single"/>
              <w:right w:color="000000" w:sz="4" w:val="single"/>
            </w:tcBorders>
            <w:shd w:fill="FFFFFF" w:val="clear"/>
          </w:tcPr>
          <w:p w14:paraId="54040000">
            <w:pPr>
              <w:ind/>
              <w:contextualSpacing w:val="1"/>
              <w:rPr>
                <w:rFonts w:ascii="Times New Roman" w:hAnsi="Times New Roman"/>
                <w:color w:val="000000"/>
                <w:sz w:val="28"/>
              </w:rPr>
            </w:pPr>
            <w:r>
              <w:rPr>
                <w:rFonts w:ascii="Times New Roman" w:hAnsi="Times New Roman"/>
                <w:color w:val="000000"/>
                <w:sz w:val="28"/>
              </w:rPr>
              <w:t xml:space="preserve">Комплексное развитие </w:t>
            </w:r>
          </w:p>
          <w:p w14:paraId="55040000">
            <w:pPr>
              <w:ind/>
              <w:contextualSpacing w:val="1"/>
              <w:rPr>
                <w:rFonts w:ascii="Times New Roman" w:hAnsi="Times New Roman"/>
                <w:color w:val="000000"/>
                <w:sz w:val="28"/>
              </w:rPr>
            </w:pPr>
            <w:r>
              <w:rPr>
                <w:rFonts w:ascii="Times New Roman" w:hAnsi="Times New Roman"/>
                <w:color w:val="000000"/>
                <w:sz w:val="28"/>
              </w:rPr>
              <w:t>территорий для жилищного строительства</w:t>
            </w:r>
          </w:p>
        </w:tc>
        <w:tc>
          <w:tcPr>
            <w:tcW w:type="dxa" w:w="3458"/>
            <w:gridSpan w:val="2"/>
            <w:tcBorders>
              <w:top w:color="000000" w:sz="4" w:val="single"/>
              <w:left w:color="000000" w:sz="4" w:val="single"/>
              <w:bottom w:color="000000" w:sz="4" w:val="single"/>
              <w:right w:color="000000" w:sz="4" w:val="single"/>
            </w:tcBorders>
            <w:shd w:fill="FFFFFF" w:val="clear"/>
          </w:tcPr>
          <w:p w14:paraId="56040000">
            <w:pPr>
              <w:ind/>
              <w:contextualSpacing w:val="1"/>
              <w:rPr>
                <w:rFonts w:ascii="Times New Roman" w:hAnsi="Times New Roman"/>
                <w:color w:val="000000"/>
                <w:sz w:val="28"/>
              </w:rPr>
            </w:pPr>
            <w:r>
              <w:rPr>
                <w:rFonts w:ascii="Times New Roman" w:hAnsi="Times New Roman"/>
                <w:color w:val="000000"/>
                <w:sz w:val="28"/>
              </w:rPr>
              <w:t>развитие массового строительства доступного жилья в рамках комплексного освоения крупных территорий</w:t>
            </w:r>
          </w:p>
        </w:tc>
        <w:tc>
          <w:tcPr>
            <w:tcW w:type="dxa" w:w="2462"/>
            <w:gridSpan w:val="3"/>
            <w:tcBorders>
              <w:top w:color="000000" w:sz="4" w:val="single"/>
              <w:left w:color="000000" w:sz="4" w:val="single"/>
              <w:bottom w:color="000000" w:sz="4" w:val="single"/>
              <w:right w:color="000000" w:sz="4" w:val="single"/>
            </w:tcBorders>
            <w:shd w:fill="FFFFFF" w:val="clear"/>
          </w:tcPr>
          <w:p w14:paraId="57040000">
            <w:pPr>
              <w:ind/>
              <w:contextualSpacing w:val="1"/>
              <w:rPr>
                <w:rFonts w:ascii="Times New Roman" w:hAnsi="Times New Roman"/>
                <w:color w:val="000000"/>
                <w:sz w:val="28"/>
              </w:rPr>
            </w:pPr>
            <w:r>
              <w:rPr>
                <w:rFonts w:ascii="Times New Roman" w:hAnsi="Times New Roman"/>
                <w:color w:val="000000"/>
                <w:sz w:val="28"/>
              </w:rPr>
              <w:t>Комитет по градостроительству и архитектуре Администрации города Волгодонска</w:t>
            </w:r>
          </w:p>
        </w:tc>
        <w:tc>
          <w:tcPr>
            <w:tcW w:type="dxa" w:w="1258"/>
            <w:gridSpan w:val="5"/>
            <w:tcBorders>
              <w:top w:color="000000" w:sz="4" w:val="single"/>
              <w:left w:color="000000" w:sz="4" w:val="single"/>
              <w:bottom w:color="000000" w:sz="4" w:val="single"/>
              <w:right w:color="000000" w:sz="4" w:val="single"/>
            </w:tcBorders>
            <w:shd w:fill="FFFFFF" w:val="clear"/>
          </w:tcPr>
          <w:p w14:paraId="58040000">
            <w:pPr>
              <w:pStyle w:val="Style_10"/>
              <w:ind w:firstLine="0" w:left="0"/>
              <w:jc w:val="center"/>
              <w:rPr>
                <w:rFonts w:ascii="Times New Roman" w:hAnsi="Times New Roman"/>
                <w:color w:val="000000"/>
                <w:sz w:val="28"/>
              </w:rPr>
            </w:pPr>
            <w:r>
              <w:rPr>
                <w:rFonts w:ascii="Times New Roman" w:hAnsi="Times New Roman"/>
                <w:color w:val="000000"/>
                <w:sz w:val="28"/>
              </w:rPr>
              <w:t>ежегодно</w:t>
            </w:r>
          </w:p>
        </w:tc>
        <w:tc>
          <w:tcPr>
            <w:tcW w:type="dxa" w:w="2098"/>
            <w:gridSpan w:val="6"/>
            <w:tcBorders>
              <w:top w:color="000000" w:sz="4" w:val="single"/>
              <w:left w:color="000000" w:sz="4" w:val="single"/>
              <w:bottom w:color="000000" w:sz="4" w:val="single"/>
              <w:right w:color="000000" w:sz="4" w:val="single"/>
            </w:tcBorders>
            <w:shd w:fill="FFFFFF" w:val="clear"/>
          </w:tcPr>
          <w:p w14:paraId="59040000">
            <w:pPr>
              <w:pStyle w:val="Style_10"/>
              <w:ind w:firstLine="0" w:left="0"/>
              <w:rPr>
                <w:rFonts w:ascii="Times New Roman" w:hAnsi="Times New Roman"/>
                <w:color w:val="000000"/>
                <w:sz w:val="28"/>
              </w:rPr>
            </w:pPr>
            <w:r>
              <w:rPr>
                <w:rFonts w:ascii="Times New Roman" w:hAnsi="Times New Roman"/>
                <w:color w:val="000000"/>
                <w:sz w:val="28"/>
              </w:rPr>
              <w:t xml:space="preserve">опубликование на сайте </w:t>
            </w:r>
            <w:r>
              <w:rPr>
                <w:rFonts w:ascii="Times New Roman" w:hAnsi="Times New Roman"/>
                <w:color w:val="000000"/>
                <w:sz w:val="28"/>
              </w:rPr>
              <w:t>http://kui.volgodonskgorod.ru</w:t>
            </w:r>
            <w:r>
              <w:rPr>
                <w:rFonts w:ascii="Times New Roman" w:hAnsi="Times New Roman"/>
                <w:color w:val="000000"/>
                <w:sz w:val="28"/>
              </w:rPr>
              <w:t xml:space="preserve"> реестра земельных участков в целях жилищного строительства, развития застроенных территорий, освоения территории в целях строительства жилья, комплексного освоения земельных участков в целях строительства жилья</w:t>
            </w:r>
            <w:r>
              <w:rPr>
                <w:rFonts w:ascii="Times New Roman" w:hAnsi="Times New Roman"/>
                <w:color w:val="000000"/>
                <w:sz w:val="28"/>
              </w:rPr>
              <w:t xml:space="preserve"> Информация о проведении аукционов публикуется на официальных сайтах проведения торгов (http://www.torgi.gov.ru), Администрации города Волгодонска (www.volgodonskgorod.ru) и КУИ города Волгодонска (http://kui.volgodonskgorod.ru).</w:t>
            </w:r>
          </w:p>
        </w:tc>
      </w:tr>
      <w:tr>
        <w:tc>
          <w:tcPr>
            <w:tcW w:type="dxa" w:w="14683"/>
            <w:gridSpan w:val="19"/>
            <w:tcBorders>
              <w:top w:color="000000" w:sz="4" w:val="single"/>
              <w:left w:color="000000" w:sz="4" w:val="single"/>
              <w:bottom w:color="000000" w:sz="4" w:val="single"/>
              <w:right w:color="000000" w:sz="4" w:val="single"/>
            </w:tcBorders>
            <w:shd w:fill="FFFFFF" w:val="clear"/>
          </w:tcPr>
          <w:p w14:paraId="5A040000">
            <w:pPr>
              <w:pStyle w:val="Style_10"/>
              <w:tabs>
                <w:tab w:leader="none" w:pos="1272" w:val="left"/>
              </w:tabs>
              <w:ind w:firstLine="0" w:left="0"/>
              <w:jc w:val="center"/>
              <w:rPr>
                <w:rFonts w:ascii="Times New Roman" w:hAnsi="Times New Roman"/>
                <w:b w:val="1"/>
                <w:color w:val="FF0000"/>
                <w:sz w:val="28"/>
              </w:rPr>
            </w:pPr>
          </w:p>
          <w:p w14:paraId="5B040000">
            <w:pPr>
              <w:pStyle w:val="Style_10"/>
              <w:tabs>
                <w:tab w:leader="none" w:pos="1272" w:val="left"/>
              </w:tabs>
              <w:ind w:firstLine="0" w:left="0"/>
              <w:jc w:val="center"/>
              <w:rPr>
                <w:rFonts w:ascii="Times New Roman" w:hAnsi="Times New Roman"/>
                <w:b w:val="1"/>
                <w:color w:val="000000"/>
                <w:sz w:val="28"/>
              </w:rPr>
            </w:pPr>
            <w:r>
              <w:rPr>
                <w:rFonts w:ascii="Times New Roman" w:hAnsi="Times New Roman"/>
                <w:b w:val="1"/>
                <w:color w:val="000000"/>
                <w:sz w:val="28"/>
              </w:rPr>
              <w:t>1.7 Рынок дорожной деятельности (за исключением проектирования)</w:t>
            </w:r>
          </w:p>
          <w:p w14:paraId="5C040000">
            <w:pPr>
              <w:pStyle w:val="Style_10"/>
              <w:tabs>
                <w:tab w:leader="none" w:pos="1272" w:val="left"/>
              </w:tabs>
              <w:ind w:firstLine="0" w:left="0"/>
              <w:jc w:val="center"/>
              <w:rPr>
                <w:rFonts w:ascii="Times New Roman" w:hAnsi="Times New Roman"/>
                <w:b w:val="1"/>
                <w:color w:val="FF0000"/>
                <w:sz w:val="28"/>
              </w:rPr>
            </w:pPr>
          </w:p>
        </w:tc>
      </w:tr>
      <w:tr>
        <w:tc>
          <w:tcPr>
            <w:tcW w:type="dxa" w:w="14683"/>
            <w:gridSpan w:val="19"/>
            <w:tcBorders>
              <w:top w:color="000000" w:sz="4" w:val="single"/>
              <w:left w:color="000000" w:sz="4" w:val="single"/>
              <w:bottom w:color="000000" w:sz="4" w:val="single"/>
              <w:right w:color="000000" w:sz="4" w:val="single"/>
            </w:tcBorders>
            <w:shd w:fill="FFFFFF" w:val="clear"/>
          </w:tcPr>
          <w:p w14:paraId="5D040000">
            <w:pPr>
              <w:widowControl w:val="0"/>
              <w:ind w:firstLine="708" w:left="0"/>
              <w:contextualSpacing w:val="1"/>
              <w:jc w:val="both"/>
              <w:rPr>
                <w:rFonts w:ascii="Times New Roman" w:hAnsi="Times New Roman"/>
                <w:sz w:val="28"/>
              </w:rPr>
            </w:pPr>
            <w:r>
              <w:rPr>
                <w:rFonts w:ascii="Times New Roman" w:hAnsi="Times New Roman"/>
                <w:sz w:val="28"/>
              </w:rPr>
              <w:t>В 2021 году в рамках софинансирования Министерством транспорта Ростовской области были выделены денежные средства на капитальный ремонт дороги по пер. Первомайский (протяженностью 0,965 км), с учетом средств местного бюджета сумма составила 21 547,697 тыс. руб. Работы завершены.</w:t>
            </w:r>
          </w:p>
          <w:p w14:paraId="5E040000">
            <w:pPr>
              <w:pStyle w:val="Style_9"/>
              <w:ind w:firstLine="708" w:left="0"/>
              <w:jc w:val="both"/>
              <w:rPr>
                <w:rFonts w:ascii="Times New Roman" w:hAnsi="Times New Roman"/>
                <w:sz w:val="28"/>
              </w:rPr>
            </w:pPr>
            <w:r>
              <w:rPr>
                <w:rFonts w:ascii="Times New Roman" w:hAnsi="Times New Roman"/>
                <w:sz w:val="28"/>
              </w:rPr>
              <w:t>В рамках муниципальной программы «Развитие транспортной системы» выполнены работы по ремонту дорог За отчётный период текущего года выполнены работы по устранению ямочности на площади 16281,83 кв. м, на сумму 13 119,51 тыс. руб.</w:t>
            </w:r>
          </w:p>
          <w:p w14:paraId="5F040000">
            <w:pPr>
              <w:pStyle w:val="Style_9"/>
              <w:spacing w:line="0" w:lineRule="atLeast"/>
              <w:ind w:firstLine="708" w:left="0"/>
              <w:jc w:val="both"/>
              <w:rPr>
                <w:rFonts w:ascii="Times New Roman" w:hAnsi="Times New Roman"/>
                <w:sz w:val="28"/>
              </w:rPr>
            </w:pPr>
            <w:r>
              <w:rPr>
                <w:rFonts w:ascii="Times New Roman" w:hAnsi="Times New Roman"/>
                <w:sz w:val="28"/>
              </w:rPr>
              <w:t xml:space="preserve">Заключены муниципальные контракты по содержанию автомобильных дорог на территории новой и старой частей города Волгодонска с подрядными организациями ООО «Созидатель» №01583000398200001360001 от 21.12.2020 и ООО «Зеленое хозяйство» №01583000398200001370001 от 21.12.2020 на сумму </w:t>
            </w:r>
            <w:r>
              <w:rPr>
                <w:rFonts w:ascii="Times New Roman" w:hAnsi="Times New Roman"/>
                <w:color w:val="000000"/>
                <w:sz w:val="28"/>
              </w:rPr>
              <w:t>29 031,00</w:t>
            </w:r>
            <w:r>
              <w:rPr>
                <w:rFonts w:ascii="Times New Roman" w:hAnsi="Times New Roman"/>
                <w:sz w:val="28"/>
              </w:rPr>
              <w:t xml:space="preserve"> тыс. руб. и </w:t>
            </w:r>
            <w:r>
              <w:rPr>
                <w:rFonts w:ascii="Times New Roman" w:hAnsi="Times New Roman"/>
                <w:color w:val="000000"/>
                <w:sz w:val="28"/>
              </w:rPr>
              <w:t xml:space="preserve">27 628,00 </w:t>
            </w:r>
            <w:r>
              <w:rPr>
                <w:rFonts w:ascii="Times New Roman" w:hAnsi="Times New Roman"/>
                <w:sz w:val="28"/>
              </w:rPr>
              <w:t xml:space="preserve">тыс. руб. соответственно. </w:t>
            </w:r>
          </w:p>
          <w:p w14:paraId="60040000">
            <w:pPr>
              <w:pStyle w:val="Style_9"/>
              <w:spacing w:line="0" w:lineRule="atLeast"/>
              <w:ind w:firstLine="708" w:left="0"/>
              <w:jc w:val="both"/>
              <w:rPr>
                <w:rFonts w:ascii="Times New Roman" w:hAnsi="Times New Roman"/>
                <w:sz w:val="28"/>
              </w:rPr>
            </w:pPr>
            <w:r>
              <w:rPr>
                <w:rFonts w:ascii="Times New Roman" w:hAnsi="Times New Roman"/>
                <w:sz w:val="28"/>
              </w:rPr>
              <w:t>В связи с израсходованными объемами по зимнему содержанию дорог в 1-й половине 2021 года заключены 4 дополнительных муниципальных контракта:</w:t>
            </w:r>
          </w:p>
          <w:p w14:paraId="61040000">
            <w:pPr>
              <w:pStyle w:val="Style_9"/>
              <w:spacing w:line="0" w:lineRule="atLeast"/>
              <w:ind w:firstLine="284" w:left="0"/>
              <w:jc w:val="both"/>
              <w:rPr>
                <w:rFonts w:ascii="Times New Roman" w:hAnsi="Times New Roman"/>
                <w:sz w:val="28"/>
              </w:rPr>
            </w:pPr>
            <w:r>
              <w:rPr>
                <w:rFonts w:ascii="Times New Roman" w:hAnsi="Times New Roman"/>
                <w:sz w:val="28"/>
              </w:rPr>
              <w:t>- ООО «Созидатель» №79 от 29.11.2021 на сумму 599,996 тыс. руб.;</w:t>
            </w:r>
          </w:p>
          <w:p w14:paraId="62040000">
            <w:pPr>
              <w:pStyle w:val="Style_9"/>
              <w:spacing w:line="0" w:lineRule="atLeast"/>
              <w:ind w:firstLine="284" w:left="0"/>
              <w:jc w:val="both"/>
              <w:rPr>
                <w:rFonts w:ascii="Times New Roman" w:hAnsi="Times New Roman"/>
                <w:sz w:val="28"/>
              </w:rPr>
            </w:pPr>
            <w:r>
              <w:rPr>
                <w:rFonts w:ascii="Times New Roman" w:hAnsi="Times New Roman"/>
                <w:sz w:val="28"/>
              </w:rPr>
              <w:t xml:space="preserve">- ООО «Зеленое хозяйство» №80 от 29.11.2021. на сумму 599,998 тыс. руб. </w:t>
            </w:r>
          </w:p>
          <w:p w14:paraId="63040000">
            <w:pPr>
              <w:pStyle w:val="Style_9"/>
              <w:spacing w:line="0" w:lineRule="atLeast"/>
              <w:ind w:firstLine="284" w:left="0"/>
              <w:jc w:val="both"/>
              <w:rPr>
                <w:rFonts w:ascii="Times New Roman" w:hAnsi="Times New Roman"/>
                <w:sz w:val="28"/>
              </w:rPr>
            </w:pPr>
            <w:r>
              <w:rPr>
                <w:rFonts w:ascii="Times New Roman" w:hAnsi="Times New Roman"/>
                <w:sz w:val="28"/>
              </w:rPr>
              <w:t>- ООО «Зеленое хозяйство» №01583000398210001310001 от 07.12.2021 (старая часть города) на сумму 4900000 тыс. рублей:</w:t>
            </w:r>
          </w:p>
          <w:p w14:paraId="64040000">
            <w:pPr>
              <w:pStyle w:val="Style_9"/>
              <w:spacing w:line="0" w:lineRule="atLeast"/>
              <w:ind w:firstLine="284" w:left="0"/>
              <w:jc w:val="both"/>
              <w:rPr>
                <w:rFonts w:ascii="Times New Roman" w:hAnsi="Times New Roman"/>
                <w:sz w:val="28"/>
              </w:rPr>
            </w:pPr>
            <w:r>
              <w:rPr>
                <w:rFonts w:ascii="Times New Roman" w:hAnsi="Times New Roman"/>
                <w:sz w:val="28"/>
              </w:rPr>
              <w:t xml:space="preserve">- ООО «Созидатель» №01583000398210001300001 от 07.12.2021 (новая часть города) на сумму 4400000 тыс. рублей. </w:t>
            </w:r>
          </w:p>
          <w:p w14:paraId="65040000">
            <w:pPr>
              <w:ind w:firstLine="708" w:left="0"/>
              <w:jc w:val="both"/>
              <w:rPr>
                <w:rFonts w:ascii="Times New Roman" w:hAnsi="Times New Roman"/>
                <w:sz w:val="28"/>
              </w:rPr>
            </w:pPr>
            <w:r>
              <w:rPr>
                <w:rFonts w:ascii="Times New Roman" w:hAnsi="Times New Roman"/>
                <w:sz w:val="28"/>
              </w:rPr>
              <w:t>В 2021 году подрядной организацией ООО «Весна» установлено 23 новых автопавильона на общую сумму 5,47 млн. руб., из них 2 имеющих малые размеры за счет средств ТОС, 21 шт. – павильоны, изготавливаемые с использованием композитных материалов, за счет средств местного бюджета.</w:t>
            </w:r>
          </w:p>
          <w:p w14:paraId="66040000">
            <w:pPr>
              <w:ind/>
              <w:jc w:val="both"/>
              <w:rPr>
                <w:rFonts w:ascii="Times New Roman" w:hAnsi="Times New Roman"/>
                <w:sz w:val="28"/>
              </w:rPr>
            </w:pPr>
            <w:r>
              <w:rPr>
                <w:rFonts w:ascii="Times New Roman" w:hAnsi="Times New Roman"/>
                <w:sz w:val="28"/>
              </w:rPr>
              <w:t>Конкуренция в дорожной отрасли Ростовской области варьируется в зависимости от видов работ.</w:t>
            </w:r>
          </w:p>
          <w:p w14:paraId="67040000">
            <w:pPr>
              <w:pStyle w:val="Style_10"/>
              <w:tabs>
                <w:tab w:leader="none" w:pos="1272" w:val="left"/>
              </w:tabs>
              <w:ind w:firstLine="0" w:left="0"/>
              <w:jc w:val="both"/>
              <w:rPr>
                <w:rFonts w:ascii="Times New Roman" w:hAnsi="Times New Roman"/>
                <w:color w:val="FF0000"/>
                <w:sz w:val="28"/>
              </w:rPr>
            </w:pPr>
            <w:r>
              <w:rPr>
                <w:rFonts w:ascii="Times New Roman" w:hAnsi="Times New Roman"/>
                <w:sz w:val="28"/>
              </w:rPr>
              <w:t>Основными административными и экономическими барьерами входа на рынок дорожной деятельности являются необходимость крупных вложений в материалы, дорожную технику, оборудование и определение подрядной организации на конкурсной основе</w:t>
            </w:r>
            <w:r>
              <w:rPr>
                <w:rFonts w:ascii="Times New Roman" w:hAnsi="Times New Roman"/>
                <w:color w:val="FF0000"/>
                <w:sz w:val="28"/>
              </w:rPr>
              <w:t>.</w:t>
            </w:r>
          </w:p>
        </w:tc>
      </w:tr>
      <w:tr>
        <w:tc>
          <w:tcPr>
            <w:tcW w:type="dxa" w:w="905"/>
            <w:tcBorders>
              <w:top w:color="000000" w:sz="4" w:val="single"/>
              <w:left w:color="000000" w:sz="4" w:val="single"/>
              <w:bottom w:color="000000" w:sz="4" w:val="single"/>
              <w:right w:color="000000" w:sz="4" w:val="single"/>
            </w:tcBorders>
            <w:shd w:fill="FFFFFF" w:val="clear"/>
          </w:tcPr>
          <w:p w14:paraId="68040000">
            <w:pPr>
              <w:ind/>
              <w:jc w:val="center"/>
              <w:rPr>
                <w:rFonts w:ascii="Times New Roman" w:hAnsi="Times New Roman"/>
                <w:color w:val="000000"/>
                <w:sz w:val="28"/>
              </w:rPr>
            </w:pPr>
            <w:r>
              <w:rPr>
                <w:rFonts w:ascii="Times New Roman" w:hAnsi="Times New Roman"/>
                <w:color w:val="000000"/>
                <w:sz w:val="28"/>
              </w:rPr>
              <w:t>1.7.1.</w:t>
            </w:r>
          </w:p>
        </w:tc>
        <w:tc>
          <w:tcPr>
            <w:tcW w:type="dxa" w:w="4502"/>
            <w:gridSpan w:val="2"/>
            <w:tcBorders>
              <w:top w:color="000000" w:sz="4" w:val="single"/>
              <w:left w:color="000000" w:sz="4" w:val="single"/>
              <w:bottom w:color="000000" w:sz="4" w:val="single"/>
              <w:right w:color="000000" w:sz="4" w:val="single"/>
            </w:tcBorders>
            <w:shd w:fill="FFFFFF" w:val="clear"/>
          </w:tcPr>
          <w:p w14:paraId="69040000">
            <w:pPr>
              <w:widowControl w:val="0"/>
              <w:ind/>
              <w:jc w:val="both"/>
              <w:rPr>
                <w:rFonts w:ascii="Times New Roman" w:hAnsi="Times New Roman"/>
                <w:color w:val="000000"/>
                <w:sz w:val="28"/>
              </w:rPr>
            </w:pPr>
            <w:r>
              <w:rPr>
                <w:rFonts w:ascii="Times New Roman" w:hAnsi="Times New Roman"/>
                <w:color w:val="000000"/>
                <w:sz w:val="28"/>
              </w:rPr>
              <w:t>Осуществлять закупки у субъектов малого предпринимательства, социально ориентированных некоммерческих организаций в объеме не менее чем 15 % совокупного годового объема закупок. В том числе, по возможности, привлечение поставщиком (подрядчиком, исполнителем), не являющимся субъектом малого предпринимательства или социально ориентированной некоммерческой организацией,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не менее 5 % от цены контракта. При этом начальная (максимальная) цена контракта не должна превышать 20 млн рублей.</w:t>
            </w:r>
          </w:p>
        </w:tc>
        <w:tc>
          <w:tcPr>
            <w:tcW w:type="dxa" w:w="3458"/>
            <w:gridSpan w:val="2"/>
            <w:tcBorders>
              <w:top w:color="000000" w:sz="4" w:val="single"/>
              <w:left w:color="000000" w:sz="4" w:val="single"/>
              <w:bottom w:color="000000" w:sz="4" w:val="single"/>
              <w:right w:color="000000" w:sz="4" w:val="single"/>
            </w:tcBorders>
            <w:shd w:fill="FFFFFF" w:val="clear"/>
          </w:tcPr>
          <w:p w14:paraId="6A040000">
            <w:pPr>
              <w:widowControl w:val="0"/>
              <w:ind/>
              <w:rPr>
                <w:rFonts w:ascii="Times New Roman" w:hAnsi="Times New Roman"/>
                <w:color w:val="000000"/>
                <w:sz w:val="28"/>
              </w:rPr>
            </w:pPr>
            <w:r>
              <w:rPr>
                <w:rFonts w:ascii="Times New Roman" w:hAnsi="Times New Roman"/>
                <w:color w:val="000000"/>
                <w:sz w:val="28"/>
              </w:rPr>
              <w:t>привлечь к исполнению контракта субподрядчиков из числа субъектов малого предпринимательства, социально ориентированных некоммерческих организаций в объеме 20 % цены контракта (требование к Подрядчику, не являющемуся субъектом малого предпринимательства или социально ориентированной некоммерческой организацией).</w:t>
            </w:r>
          </w:p>
        </w:tc>
        <w:tc>
          <w:tcPr>
            <w:tcW w:type="dxa" w:w="3129"/>
            <w:gridSpan w:val="7"/>
            <w:tcBorders>
              <w:top w:color="000000" w:sz="4" w:val="single"/>
              <w:left w:color="000000" w:sz="4" w:val="single"/>
              <w:bottom w:color="000000" w:sz="4" w:val="single"/>
              <w:right w:color="000000" w:sz="4" w:val="single"/>
            </w:tcBorders>
            <w:shd w:fill="FFFFFF" w:val="clear"/>
          </w:tcPr>
          <w:p w14:paraId="6B040000">
            <w:pPr>
              <w:rPr>
                <w:rFonts w:ascii="Times New Roman" w:hAnsi="Times New Roman"/>
                <w:color w:val="000000"/>
                <w:sz w:val="28"/>
              </w:rPr>
            </w:pPr>
            <w:r>
              <w:rPr>
                <w:rFonts w:ascii="Times New Roman" w:hAnsi="Times New Roman"/>
                <w:color w:val="000000"/>
                <w:sz w:val="28"/>
              </w:rPr>
              <w:t>МКУ «Департамент строительства и городского хозяйства»</w:t>
            </w:r>
          </w:p>
        </w:tc>
        <w:tc>
          <w:tcPr>
            <w:tcW w:type="dxa" w:w="1548"/>
            <w:gridSpan w:val="6"/>
            <w:tcBorders>
              <w:top w:color="000000" w:sz="4" w:val="single"/>
              <w:left w:color="000000" w:sz="4" w:val="single"/>
              <w:bottom w:color="000000" w:sz="4" w:val="single"/>
              <w:right w:color="000000" w:sz="4" w:val="single"/>
            </w:tcBorders>
            <w:shd w:fill="FFFFFF" w:val="clear"/>
          </w:tcPr>
          <w:p w14:paraId="6C040000">
            <w:pPr>
              <w:ind/>
              <w:jc w:val="center"/>
              <w:rPr>
                <w:rFonts w:ascii="Times New Roman" w:hAnsi="Times New Roman"/>
                <w:color w:val="000000"/>
                <w:sz w:val="28"/>
              </w:rPr>
            </w:pPr>
            <w:r>
              <w:rPr>
                <w:rFonts w:ascii="Times New Roman" w:hAnsi="Times New Roman"/>
                <w:color w:val="000000"/>
                <w:sz w:val="28"/>
              </w:rPr>
              <w:t>весь период</w:t>
            </w:r>
          </w:p>
        </w:tc>
        <w:tc>
          <w:tcPr>
            <w:tcW w:type="dxa" w:w="1141"/>
            <w:tcBorders>
              <w:top w:color="000000" w:sz="4" w:val="single"/>
              <w:left w:color="000000" w:sz="4" w:val="single"/>
              <w:bottom w:color="000000" w:sz="4" w:val="single"/>
              <w:right w:color="000000" w:sz="4" w:val="single"/>
            </w:tcBorders>
            <w:shd w:fill="FFFFFF" w:val="clear"/>
          </w:tcPr>
          <w:p w14:paraId="6D040000">
            <w:pPr>
              <w:rPr>
                <w:rFonts w:ascii="Times New Roman" w:hAnsi="Times New Roman"/>
                <w:color w:val="FF0000"/>
                <w:sz w:val="28"/>
              </w:rPr>
            </w:pPr>
            <w:r>
              <w:rPr>
                <w:rFonts w:ascii="Times New Roman" w:hAnsi="Times New Roman"/>
                <w:color w:val="000000"/>
                <w:sz w:val="28"/>
              </w:rPr>
              <w:t>Доля процентов закупок, которые заказчик осуществил у субъектов малого предпринимательства, социально ориентированных некоммерческих организаций от совокупного годового объема закупок: в 2020 отчетном году составила 19,1%, в 2021 отчетном году составила 19,5%.</w:t>
            </w:r>
          </w:p>
        </w:tc>
      </w:tr>
      <w:tr>
        <w:trPr>
          <w:trHeight w:hRule="atLeast" w:val="454"/>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6E040000">
            <w:pPr>
              <w:keepNext w:val="1"/>
              <w:keepLines w:val="1"/>
              <w:spacing w:line="240" w:lineRule="auto"/>
              <w:ind/>
              <w:jc w:val="center"/>
              <w:rPr>
                <w:rFonts w:ascii="Times New Roman" w:hAnsi="Times New Roman"/>
                <w:b w:val="1"/>
                <w:color w:val="000000"/>
                <w:sz w:val="28"/>
              </w:rPr>
            </w:pPr>
            <w:r>
              <w:rPr>
                <w:rFonts w:ascii="Times New Roman" w:hAnsi="Times New Roman"/>
                <w:b w:val="1"/>
                <w:color w:val="000000"/>
                <w:sz w:val="28"/>
              </w:rPr>
              <w:t>1.8 Рынок теплоснабжения (производства тепловой энергии)</w:t>
            </w:r>
          </w:p>
        </w:tc>
      </w:tr>
      <w:tr>
        <w:tc>
          <w:tcPr>
            <w:tcW w:type="dxa" w:w="14683"/>
            <w:gridSpan w:val="19"/>
            <w:tcBorders>
              <w:top w:color="000000" w:sz="4" w:val="single"/>
              <w:left w:color="000000" w:sz="4" w:val="single"/>
              <w:bottom w:color="000000" w:sz="4" w:val="single"/>
              <w:right w:color="000000" w:sz="4" w:val="single"/>
            </w:tcBorders>
            <w:shd w:fill="FFFFFF" w:val="clear"/>
          </w:tcPr>
          <w:p w14:paraId="6F040000">
            <w:pPr>
              <w:ind w:firstLine="708" w:left="0"/>
              <w:jc w:val="both"/>
              <w:rPr>
                <w:rFonts w:ascii="Times New Roman" w:hAnsi="Times New Roman"/>
                <w:color w:val="000000"/>
                <w:sz w:val="28"/>
              </w:rPr>
            </w:pPr>
            <w:r>
              <w:rPr>
                <w:rFonts w:ascii="Times New Roman" w:hAnsi="Times New Roman"/>
                <w:color w:val="000000"/>
                <w:sz w:val="28"/>
              </w:rPr>
              <w:t>На рынке теплоснабжения города Волгодонска оказывают услуги организации, в отношении которых осуществляется. На рынке теплоснабжения города Волгодонска оказывают услуги организации, в отношении которых осуществляется государственное регулирование тарифов - ООО «ВТС», ООО «Волгодонская ТЭЦ-1», ООО «ВТГ».</w:t>
            </w:r>
          </w:p>
          <w:p w14:paraId="70040000">
            <w:pPr>
              <w:keepNext w:val="1"/>
              <w:keepLines w:val="1"/>
              <w:spacing w:line="240" w:lineRule="auto"/>
              <w:ind w:firstLine="709" w:left="0"/>
              <w:jc w:val="both"/>
              <w:rPr>
                <w:rFonts w:ascii="Times New Roman" w:hAnsi="Times New Roman"/>
                <w:color w:val="000000"/>
                <w:sz w:val="28"/>
              </w:rPr>
            </w:pPr>
            <w:r>
              <w:rPr>
                <w:rFonts w:ascii="Times New Roman" w:hAnsi="Times New Roman"/>
                <w:color w:val="000000"/>
                <w:sz w:val="28"/>
              </w:rPr>
              <w:t>Главная проблема рынка теплоснабжения (производство тепловой энергии) – необходимость полной модернизации оборудования объектов теплоснабжения.</w:t>
            </w:r>
          </w:p>
          <w:p w14:paraId="71040000">
            <w:pPr>
              <w:ind/>
              <w:jc w:val="both"/>
              <w:rPr>
                <w:rFonts w:ascii="Times New Roman" w:hAnsi="Times New Roman"/>
                <w:color w:val="000000"/>
                <w:sz w:val="28"/>
              </w:rPr>
            </w:pPr>
            <w:r>
              <w:rPr>
                <w:rFonts w:ascii="Times New Roman" w:hAnsi="Times New Roman"/>
                <w:color w:val="000000"/>
                <w:sz w:val="28"/>
              </w:rPr>
              <w:t xml:space="preserve">           В 2020 году согласно сообщениям о принятии на учет бесхозяйных объектов недвижимого имущества в Единый государственный реестр прав на недвижимое имущество и сделок с ним (далее – ЕГРН) приняты на государственный кадастровый учет в качестве бесхозяйного недвижимого имущества 26 тепловых сетей. В 2021 Комитетом по управлению имуществом города Волгодонска проведены работы по приемке в муниципальную собственность путем обращения в суд с требованием о признании права муниципальной собственности на 26 тепловых сетей принятых на государственный кадастровый учет в качестве бесхозяйного недвижимого имущества</w:t>
            </w:r>
            <w:r>
              <w:rPr>
                <w:rFonts w:ascii="Times New Roman" w:hAnsi="Times New Roman"/>
                <w:color w:val="000000"/>
              </w:rPr>
              <w:t>.</w:t>
            </w:r>
            <w:r>
              <w:rPr>
                <w:rFonts w:ascii="Times New Roman" w:hAnsi="Times New Roman"/>
                <w:color w:val="000000"/>
                <w:sz w:val="28"/>
              </w:rPr>
              <w:t xml:space="preserve"> Приемка указанных тепловых сетей в муниципальную собственность муниципального образования «Город Волгодонск» и включение в реестр муниципального имущества муниципального образования «Город Волгодонск» осуществлена в декабре 2021 (Приказы КУИ города Волгодонска от 01.12.2021 № 390, от 24.12.2021  № 421).</w:t>
            </w:r>
          </w:p>
          <w:p w14:paraId="72040000">
            <w:pPr>
              <w:ind/>
              <w:jc w:val="both"/>
              <w:rPr>
                <w:rFonts w:ascii="Times New Roman" w:hAnsi="Times New Roman"/>
                <w:color w:val="000000"/>
                <w:sz w:val="28"/>
              </w:rPr>
            </w:pPr>
            <w:r>
              <w:rPr>
                <w:rFonts w:ascii="Times New Roman" w:hAnsi="Times New Roman"/>
                <w:color w:val="000000"/>
                <w:sz w:val="28"/>
              </w:rPr>
              <w:t xml:space="preserve">           В 2022 году планируется подписание дополнительные соглашения  с ООО «ВТС» и ООО «Воглодонская-ТЭЦ-1 к договорам аренды муниципального имущества о передаче в аренду 26 муниципальных тепловых сетей.   . </w:t>
            </w:r>
          </w:p>
          <w:p w14:paraId="73040000">
            <w:pPr>
              <w:ind w:firstLine="708" w:left="0"/>
              <w:jc w:val="both"/>
              <w:rPr>
                <w:rFonts w:ascii="Times New Roman" w:hAnsi="Times New Roman"/>
                <w:color w:val="000000"/>
                <w:sz w:val="28"/>
              </w:rPr>
            </w:pPr>
          </w:p>
        </w:tc>
      </w:tr>
      <w:tr>
        <w:tc>
          <w:tcPr>
            <w:tcW w:type="dxa" w:w="905"/>
            <w:tcBorders>
              <w:top w:color="000000" w:sz="4" w:val="single"/>
              <w:left w:color="000000" w:sz="4" w:val="single"/>
              <w:bottom w:color="000000" w:sz="4" w:val="single"/>
              <w:right w:color="000000" w:sz="4" w:val="single"/>
            </w:tcBorders>
            <w:shd w:fill="FFFFFF" w:val="clear"/>
          </w:tcPr>
          <w:p w14:paraId="74040000">
            <w:pPr>
              <w:spacing w:line="240" w:lineRule="auto"/>
              <w:ind w:firstLine="0" w:left="-57"/>
              <w:jc w:val="center"/>
              <w:rPr>
                <w:rFonts w:ascii="Times New Roman" w:hAnsi="Times New Roman"/>
                <w:color w:val="000000"/>
                <w:sz w:val="28"/>
              </w:rPr>
            </w:pPr>
            <w:r>
              <w:rPr>
                <w:rFonts w:ascii="Times New Roman" w:hAnsi="Times New Roman"/>
                <w:color w:val="000000"/>
                <w:sz w:val="28"/>
              </w:rPr>
              <w:t>1.8.1</w:t>
            </w:r>
          </w:p>
        </w:tc>
        <w:tc>
          <w:tcPr>
            <w:tcW w:type="dxa" w:w="4502"/>
            <w:gridSpan w:val="2"/>
            <w:tcBorders>
              <w:top w:color="000000" w:sz="4" w:val="single"/>
              <w:left w:color="000000" w:sz="4" w:val="single"/>
              <w:bottom w:color="000000" w:sz="4" w:val="single"/>
              <w:right w:color="000000" w:sz="4" w:val="single"/>
            </w:tcBorders>
            <w:shd w:fill="FFFFFF" w:val="clear"/>
          </w:tcPr>
          <w:p w14:paraId="75040000">
            <w:pPr>
              <w:widowControl w:val="0"/>
              <w:ind/>
              <w:jc w:val="both"/>
              <w:rPr>
                <w:rFonts w:ascii="Times New Roman" w:hAnsi="Times New Roman"/>
                <w:color w:val="000000"/>
                <w:sz w:val="28"/>
              </w:rPr>
            </w:pPr>
            <w:r>
              <w:rPr>
                <w:rFonts w:ascii="Times New Roman" w:hAnsi="Times New Roman"/>
                <w:color w:val="000000"/>
                <w:sz w:val="28"/>
              </w:rPr>
              <w:t>Постановка на учет вновь выявленных бесхозяйных объектов и трубопроводов теплоснабжения и передача их на обслуживание теплоснабжающим организациям</w:t>
            </w:r>
          </w:p>
        </w:tc>
        <w:tc>
          <w:tcPr>
            <w:tcW w:type="dxa" w:w="3458"/>
            <w:gridSpan w:val="2"/>
            <w:tcBorders>
              <w:top w:color="000000" w:sz="4" w:val="single"/>
              <w:left w:color="000000" w:sz="4" w:val="single"/>
              <w:bottom w:color="000000" w:sz="4" w:val="single"/>
              <w:right w:color="000000" w:sz="4" w:val="single"/>
            </w:tcBorders>
            <w:shd w:fill="FFFFFF" w:val="clear"/>
          </w:tcPr>
          <w:p w14:paraId="76040000">
            <w:pPr>
              <w:widowControl w:val="0"/>
              <w:ind/>
              <w:jc w:val="both"/>
              <w:rPr>
                <w:rFonts w:ascii="Times New Roman" w:hAnsi="Times New Roman"/>
                <w:color w:val="000000"/>
                <w:sz w:val="28"/>
              </w:rPr>
            </w:pPr>
            <w:r>
              <w:rPr>
                <w:rFonts w:ascii="Times New Roman" w:hAnsi="Times New Roman"/>
                <w:color w:val="000000"/>
                <w:sz w:val="28"/>
              </w:rPr>
              <w:t>улучшение состояния оборудования и тепловых сетей, уменьшение аварийных ситуаций на указанных объектах, обеспечение населения бесперебойными услугами по теплоснабжению</w:t>
            </w:r>
          </w:p>
        </w:tc>
        <w:tc>
          <w:tcPr>
            <w:tcW w:type="dxa" w:w="3129"/>
            <w:gridSpan w:val="7"/>
            <w:tcBorders>
              <w:top w:color="000000" w:sz="4" w:val="single"/>
              <w:left w:color="000000" w:sz="4" w:val="single"/>
              <w:bottom w:color="000000" w:sz="4" w:val="single"/>
              <w:right w:color="000000" w:sz="4" w:val="single"/>
            </w:tcBorders>
            <w:shd w:fill="FFFFFF" w:val="clear"/>
          </w:tcPr>
          <w:p w14:paraId="77040000">
            <w:pPr>
              <w:widowControl w:val="0"/>
              <w:ind/>
              <w:jc w:val="center"/>
              <w:rPr>
                <w:rFonts w:ascii="Times New Roman" w:hAnsi="Times New Roman"/>
                <w:color w:val="000000"/>
                <w:sz w:val="28"/>
              </w:rPr>
            </w:pPr>
            <w:r>
              <w:rPr>
                <w:rFonts w:ascii="Times New Roman" w:hAnsi="Times New Roman"/>
                <w:color w:val="000000"/>
                <w:sz w:val="28"/>
              </w:rPr>
              <w:t>Комитет по управлению имуществом города Волгодонска</w:t>
            </w:r>
          </w:p>
          <w:p w14:paraId="78040000">
            <w:pPr>
              <w:widowControl w:val="0"/>
              <w:ind/>
              <w:jc w:val="center"/>
              <w:rPr>
                <w:rFonts w:ascii="Times New Roman" w:hAnsi="Times New Roman"/>
                <w:color w:val="000000"/>
                <w:sz w:val="28"/>
              </w:rPr>
            </w:pPr>
            <w:r>
              <w:rPr>
                <w:rFonts w:ascii="Times New Roman" w:hAnsi="Times New Roman"/>
                <w:color w:val="000000"/>
                <w:sz w:val="28"/>
              </w:rPr>
              <w:br/>
            </w:r>
            <w:r>
              <w:rPr>
                <w:rFonts w:ascii="Times New Roman" w:hAnsi="Times New Roman"/>
                <w:color w:val="000000"/>
                <w:sz w:val="28"/>
              </w:rPr>
              <w:t>МКУ «Департамент строительства и городского хозяйства»</w:t>
            </w:r>
          </w:p>
          <w:p w14:paraId="79040000">
            <w:pPr>
              <w:widowControl w:val="0"/>
              <w:ind/>
              <w:jc w:val="center"/>
              <w:rPr>
                <w:rFonts w:ascii="Times New Roman" w:hAnsi="Times New Roman"/>
                <w:color w:val="000000"/>
                <w:sz w:val="28"/>
              </w:rPr>
            </w:pPr>
          </w:p>
          <w:p w14:paraId="7A040000">
            <w:pPr>
              <w:widowControl w:val="0"/>
              <w:ind/>
              <w:jc w:val="center"/>
              <w:rPr>
                <w:rFonts w:ascii="Times New Roman" w:hAnsi="Times New Roman"/>
                <w:color w:val="000000"/>
                <w:sz w:val="28"/>
              </w:rPr>
            </w:pPr>
            <w:r>
              <w:rPr>
                <w:rFonts w:ascii="Times New Roman" w:hAnsi="Times New Roman"/>
                <w:color w:val="000000"/>
                <w:sz w:val="28"/>
              </w:rPr>
              <w:t xml:space="preserve"> ООО «ВТС»</w:t>
            </w:r>
          </w:p>
          <w:p w14:paraId="7B040000">
            <w:pPr>
              <w:widowControl w:val="0"/>
              <w:ind/>
              <w:jc w:val="center"/>
              <w:rPr>
                <w:rFonts w:ascii="Times New Roman" w:hAnsi="Times New Roman"/>
                <w:color w:val="000000"/>
                <w:sz w:val="28"/>
              </w:rPr>
            </w:pPr>
          </w:p>
          <w:p w14:paraId="7C040000">
            <w:pPr>
              <w:widowControl w:val="0"/>
              <w:ind/>
              <w:jc w:val="center"/>
              <w:rPr>
                <w:rFonts w:ascii="Times New Roman" w:hAnsi="Times New Roman"/>
                <w:color w:val="000000"/>
                <w:sz w:val="28"/>
              </w:rPr>
            </w:pPr>
            <w:r>
              <w:rPr>
                <w:rFonts w:ascii="Times New Roman" w:hAnsi="Times New Roman"/>
                <w:color w:val="000000"/>
                <w:sz w:val="28"/>
              </w:rPr>
              <w:t>ООО «Волгодонская ТЭЦ-1»</w:t>
            </w:r>
          </w:p>
        </w:tc>
        <w:tc>
          <w:tcPr>
            <w:tcW w:type="dxa" w:w="2689"/>
            <w:gridSpan w:val="7"/>
            <w:tcBorders>
              <w:top w:color="000000" w:sz="4" w:val="single"/>
              <w:left w:color="000000" w:sz="4" w:val="single"/>
              <w:bottom w:color="000000" w:sz="4" w:val="single"/>
              <w:right w:color="000000" w:sz="4" w:val="single"/>
            </w:tcBorders>
            <w:shd w:fill="FFFFFF" w:val="clear"/>
          </w:tcPr>
          <w:p w14:paraId="7D040000">
            <w:pPr>
              <w:widowControl w:val="0"/>
              <w:ind/>
              <w:jc w:val="center"/>
              <w:rPr>
                <w:rFonts w:ascii="Times New Roman" w:hAnsi="Times New Roman"/>
                <w:color w:val="000000"/>
                <w:sz w:val="28"/>
              </w:rPr>
            </w:pPr>
            <w:r>
              <w:rPr>
                <w:rFonts w:ascii="Times New Roman" w:hAnsi="Times New Roman"/>
                <w:color w:val="000000"/>
                <w:sz w:val="28"/>
              </w:rPr>
              <w:t>весь период</w:t>
            </w:r>
          </w:p>
          <w:p w14:paraId="7E040000">
            <w:pPr>
              <w:widowControl w:val="0"/>
              <w:ind/>
              <w:jc w:val="center"/>
              <w:rPr>
                <w:rFonts w:ascii="Times New Roman" w:hAnsi="Times New Roman"/>
                <w:color w:val="FF0000"/>
                <w:sz w:val="28"/>
              </w:rPr>
            </w:pPr>
            <w:r>
              <w:rPr>
                <w:rFonts w:ascii="Times New Roman" w:hAnsi="Times New Roman"/>
                <w:color w:val="000000"/>
                <w:sz w:val="28"/>
              </w:rPr>
              <w:t>см.1.8</w:t>
            </w:r>
            <w:r>
              <w:rPr>
                <w:rFonts w:ascii="Times New Roman" w:hAnsi="Times New Roman"/>
                <w:color w:val="FF0000"/>
                <w:sz w:val="28"/>
              </w:rPr>
              <w:t xml:space="preserve"> </w:t>
            </w:r>
          </w:p>
        </w:tc>
      </w:tr>
      <w:tr>
        <w:trPr>
          <w:trHeight w:hRule="atLeast" w:val="571"/>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7F040000">
            <w:pPr>
              <w:keepNext w:val="1"/>
              <w:keepLines w:val="1"/>
              <w:spacing w:line="240" w:lineRule="auto"/>
              <w:ind/>
              <w:jc w:val="center"/>
              <w:rPr>
                <w:rFonts w:ascii="Times New Roman" w:hAnsi="Times New Roman"/>
                <w:b w:val="1"/>
                <w:color w:val="000000"/>
                <w:sz w:val="28"/>
              </w:rPr>
            </w:pPr>
            <w:r>
              <w:rPr>
                <w:rFonts w:ascii="Times New Roman" w:hAnsi="Times New Roman"/>
                <w:b w:val="1"/>
                <w:color w:val="000000"/>
                <w:sz w:val="28"/>
              </w:rPr>
              <w:t>1.9 Рынок выполнения работ по содержанию и текущему ремонту</w:t>
            </w:r>
          </w:p>
          <w:p w14:paraId="80040000">
            <w:pPr>
              <w:keepNext w:val="1"/>
              <w:keepLines w:val="1"/>
              <w:spacing w:line="240" w:lineRule="auto"/>
              <w:ind/>
              <w:jc w:val="center"/>
              <w:rPr>
                <w:rFonts w:ascii="Times New Roman" w:hAnsi="Times New Roman"/>
                <w:b w:val="1"/>
                <w:color w:val="FF0000"/>
                <w:sz w:val="28"/>
              </w:rPr>
            </w:pPr>
            <w:r>
              <w:rPr>
                <w:rFonts w:ascii="Times New Roman" w:hAnsi="Times New Roman"/>
                <w:b w:val="1"/>
                <w:color w:val="000000"/>
                <w:sz w:val="28"/>
              </w:rPr>
              <w:t>общего имущества собственников помещений в многоквартирном доме</w:t>
            </w:r>
          </w:p>
        </w:tc>
      </w:tr>
      <w:tr>
        <w:tc>
          <w:tcPr>
            <w:tcW w:type="dxa" w:w="14683"/>
            <w:gridSpan w:val="19"/>
            <w:tcBorders>
              <w:top w:color="000000" w:sz="4" w:val="single"/>
              <w:left w:color="000000" w:sz="4" w:val="single"/>
              <w:bottom w:color="000000" w:sz="4" w:val="single"/>
              <w:right w:color="000000" w:sz="4" w:val="single"/>
            </w:tcBorders>
            <w:shd w:fill="FFFFFF" w:val="clear"/>
          </w:tcPr>
          <w:p w14:paraId="81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На территории Муниципального образования «Город Волгодонск» 795 многоквартирных домов, 25 управляющих организаций, в управлении которых 625 многоквартирных домов, 75 ТСЖ, ТСН, ЖСК, в управлении которых 111 многоквартирных домов, в непосредственном управлении 59 МКД. Во всех многоквартирных домах собственниками помещений реализован способ управления.</w:t>
            </w:r>
          </w:p>
          <w:p w14:paraId="82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На территории города Волгодонска в сфере управления многоквартирными домами деятельность осуществляют лицензиаты, в том числе осуществляющие работы по содержанию и текущему ремонту общего имущества собственников помещений в многоквартирных домах.</w:t>
            </w:r>
          </w:p>
          <w:p w14:paraId="83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 xml:space="preserve">Согласно Региональной программе капитального ремонта в 2021 году в городе Волгодонске запланирован капитальный ремонт  63 многоквартирных домов (далее - МКД).  </w:t>
            </w:r>
          </w:p>
          <w:p w14:paraId="84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По состоянию на 10.02.2022 выполнен ремонт 39 МКД, ремонт 24 МКД будет завершен до 01.07.2022 (согласно графикам производства работ).</w:t>
            </w:r>
          </w:p>
          <w:p w14:paraId="85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 xml:space="preserve"> В 2021 году произведена замена 152 лифтов в 56 МКД.</w:t>
            </w:r>
          </w:p>
          <w:p w14:paraId="86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 xml:space="preserve">Проблемой рынка являются отказы управляющих организаций от управления многоквартирными домами при несоблюдении условий внесения изменений в реестр лицензий в части исключения многоквартирных домов из реестра и официального расторжения договора управления, выявленные в ходе осуществления надзорной деятельности. </w:t>
            </w:r>
          </w:p>
          <w:p w14:paraId="87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Собственники помещений вправе самостоятельно совершать действия по содержанию и ремонту мест общего пользования или привлекать иных лиц.</w:t>
            </w:r>
          </w:p>
          <w:p w14:paraId="88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В зависимости от способа управления многоквартирным домом содержание мест общего пользования может осуществляться:</w:t>
            </w:r>
          </w:p>
          <w:p w14:paraId="89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1) управляющей организацией;</w:t>
            </w:r>
          </w:p>
          <w:p w14:paraId="8A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2) товариществом собственников жилья, жилищным кооперативом или иным специализированным потребительским кооперативом;</w:t>
            </w:r>
          </w:p>
          <w:p w14:paraId="8B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3) застройщиком (в отношении помещений в доме, не переданных иным лицам по передаточному акту, с момента выдачи ему разрешения на ввод многоквартирного дома в эксплуатацию);</w:t>
            </w:r>
          </w:p>
          <w:p w14:paraId="8C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4) лицом, принявшим от застройщика после выдачи ему разрешения на ввод многоквартирного дома в эксплуатацию помещения в доме по передаточному акту;</w:t>
            </w:r>
          </w:p>
          <w:p w14:paraId="8D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5) иными лицами, с которыми заключен договор о содержании и ремонте общего имущества в многоквартирном доме;</w:t>
            </w:r>
          </w:p>
          <w:p w14:paraId="8E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6) привлекаемыми специализированными организациями ‒ в части выполнения работ в целях содержания в надлежащем техническом состоянии лифтового хозяйства и противопожарных систем многоквартирного дома.</w:t>
            </w:r>
          </w:p>
          <w:p w14:paraId="8F040000">
            <w:pPr>
              <w:tabs>
                <w:tab w:leader="none" w:pos="0" w:val="left"/>
              </w:tabs>
              <w:ind w:firstLine="709" w:left="0"/>
              <w:contextualSpacing w:val="1"/>
              <w:jc w:val="both"/>
              <w:rPr>
                <w:rFonts w:ascii="Times New Roman" w:hAnsi="Times New Roman"/>
                <w:color w:val="000000"/>
                <w:sz w:val="28"/>
              </w:rPr>
            </w:pPr>
            <w:r>
              <w:rPr>
                <w:rFonts w:ascii="Times New Roman" w:hAnsi="Times New Roman"/>
                <w:color w:val="000000"/>
                <w:sz w:val="28"/>
              </w:rPr>
              <w:t>Собственники помещений в многоквартирном доме на общем собрании утверждают перечень услуг и работ по содержанию мест общего пользования, условия их оказания и выполнения, а также размер финансирования.</w:t>
            </w:r>
          </w:p>
          <w:p w14:paraId="90040000">
            <w:pPr>
              <w:ind w:firstLine="708" w:left="0"/>
              <w:jc w:val="both"/>
              <w:rPr>
                <w:rFonts w:ascii="Times New Roman" w:hAnsi="Times New Roman"/>
                <w:sz w:val="28"/>
              </w:rPr>
            </w:pPr>
            <w:r>
              <w:rPr>
                <w:rFonts w:ascii="Times New Roman" w:hAnsi="Times New Roman"/>
                <w:b w:val="1"/>
                <w:sz w:val="28"/>
              </w:rPr>
              <w:t>1.9.1</w:t>
            </w:r>
            <w:r>
              <w:rPr>
                <w:rFonts w:ascii="Times New Roman" w:hAnsi="Times New Roman"/>
                <w:sz w:val="28"/>
              </w:rPr>
              <w:t xml:space="preserve">. В  2021 году в рамках муниципального жилищного контроля проведено 76 проверок, в том числе 76 внеплановых. </w:t>
            </w:r>
          </w:p>
          <w:p w14:paraId="91040000">
            <w:pPr>
              <w:ind w:firstLine="398" w:left="0"/>
              <w:jc w:val="both"/>
              <w:rPr>
                <w:rFonts w:ascii="Times New Roman" w:hAnsi="Times New Roman"/>
                <w:sz w:val="28"/>
              </w:rPr>
            </w:pPr>
            <w:r>
              <w:rPr>
                <w:rFonts w:ascii="Times New Roman" w:hAnsi="Times New Roman"/>
                <w:sz w:val="28"/>
              </w:rPr>
              <w:t>Из 76 внеплановых проверок, 47 проверок по заявлениям физических лиц и юридических лиц, по информации органов государственной власти, средств массовой информации ( по фактам ненадлежащего содержания общего имущества, по неисполнению условий договора управления), 29 проверок  по контролю за исполнением ранее выданных предписаний.</w:t>
            </w:r>
          </w:p>
          <w:p w14:paraId="92040000">
            <w:pPr>
              <w:ind w:firstLine="540" w:left="-142"/>
              <w:jc w:val="both"/>
              <w:rPr>
                <w:rFonts w:ascii="Times New Roman" w:hAnsi="Times New Roman"/>
                <w:sz w:val="28"/>
              </w:rPr>
            </w:pPr>
            <w:r>
              <w:rPr>
                <w:rFonts w:ascii="Times New Roman" w:hAnsi="Times New Roman"/>
                <w:sz w:val="28"/>
              </w:rPr>
              <w:t xml:space="preserve">По результатам проведенных 76 проверок выявлено 103 факта нарушений обязательных требований жилищного законодательства, в том числе 2 факта неисполнения предписания органа муниципального жилищного контроля в установленные законодательством сроки. </w:t>
            </w:r>
          </w:p>
          <w:p w14:paraId="93040000">
            <w:pPr>
              <w:ind w:firstLine="398" w:left="0"/>
              <w:jc w:val="both"/>
              <w:rPr>
                <w:rFonts w:ascii="Times New Roman" w:hAnsi="Times New Roman"/>
                <w:sz w:val="28"/>
              </w:rPr>
            </w:pPr>
            <w:r>
              <w:rPr>
                <w:rFonts w:ascii="Times New Roman" w:hAnsi="Times New Roman"/>
                <w:sz w:val="28"/>
              </w:rPr>
              <w:t>Проверки проведены в отношении 17 юридических лиц, у 16 юридических лиц выявлены нарушения обязательных требований.</w:t>
            </w:r>
          </w:p>
          <w:p w14:paraId="94040000">
            <w:pPr>
              <w:ind w:firstLine="540" w:left="-142"/>
              <w:jc w:val="both"/>
              <w:rPr>
                <w:rFonts w:ascii="Times New Roman" w:hAnsi="Times New Roman"/>
                <w:sz w:val="28"/>
              </w:rPr>
            </w:pPr>
            <w:r>
              <w:rPr>
                <w:rFonts w:ascii="Times New Roman" w:hAnsi="Times New Roman"/>
                <w:sz w:val="28"/>
              </w:rPr>
              <w:t>Управляющим организациям и ТСЖ выдано 42 предписания по устранению выявленных нарушений.</w:t>
            </w:r>
          </w:p>
          <w:p w14:paraId="95040000">
            <w:pPr>
              <w:ind w:firstLine="851" w:left="0"/>
              <w:jc w:val="both"/>
              <w:rPr>
                <w:rFonts w:ascii="Times New Roman" w:hAnsi="Times New Roman"/>
                <w:sz w:val="28"/>
              </w:rPr>
            </w:pPr>
            <w:r>
              <w:rPr>
                <w:rFonts w:ascii="Times New Roman" w:hAnsi="Times New Roman"/>
                <w:sz w:val="28"/>
              </w:rPr>
              <w:t xml:space="preserve">По итогам проведения двух проверок, по факту выявленных нарушений составлены протоколы по части 1 статьи 19.5 КоАП РФ. </w:t>
            </w:r>
          </w:p>
          <w:p w14:paraId="96040000">
            <w:pPr>
              <w:ind w:firstLine="851" w:left="0"/>
              <w:jc w:val="both"/>
              <w:rPr>
                <w:rFonts w:ascii="Times New Roman" w:hAnsi="Times New Roman"/>
                <w:sz w:val="28"/>
              </w:rPr>
            </w:pPr>
            <w:r>
              <w:rPr>
                <w:rFonts w:ascii="Times New Roman" w:hAnsi="Times New Roman"/>
                <w:sz w:val="28"/>
              </w:rPr>
              <w:t xml:space="preserve">Материалы проверок направлены в Волгодонский мировой суд для привлечения к административной ответственности виновных лиц. </w:t>
            </w:r>
          </w:p>
          <w:p w14:paraId="97040000">
            <w:pPr>
              <w:ind w:firstLine="851" w:left="0"/>
              <w:jc w:val="both"/>
              <w:rPr>
                <w:rFonts w:ascii="Times New Roman" w:hAnsi="Times New Roman"/>
                <w:sz w:val="28"/>
              </w:rPr>
            </w:pPr>
            <w:r>
              <w:rPr>
                <w:rFonts w:ascii="Times New Roman" w:hAnsi="Times New Roman"/>
                <w:sz w:val="28"/>
              </w:rPr>
              <w:t>В 2021 году возбуждено 2 дела об административных правонарушениях. Вынесено 2 административных наказания в отношении юридических лиц. Общая сумма наложенных административных штрафов 10,0 т.р. Общая сумма уплаченных штрафов 10,0 т.р.</w:t>
            </w:r>
          </w:p>
          <w:p w14:paraId="98040000">
            <w:pPr>
              <w:tabs>
                <w:tab w:leader="none" w:pos="0" w:val="left"/>
              </w:tabs>
              <w:ind w:firstLine="709" w:left="0"/>
              <w:contextualSpacing w:val="1"/>
              <w:jc w:val="both"/>
              <w:rPr>
                <w:rFonts w:ascii="Times New Roman" w:hAnsi="Times New Roman"/>
                <w:color w:val="FF0000"/>
                <w:sz w:val="28"/>
              </w:rPr>
            </w:pPr>
          </w:p>
        </w:tc>
      </w:tr>
      <w:tr>
        <w:tc>
          <w:tcPr>
            <w:tcW w:type="dxa" w:w="905"/>
            <w:tcBorders>
              <w:top w:color="000000" w:sz="4" w:val="single"/>
              <w:left w:color="000000" w:sz="4" w:val="single"/>
              <w:bottom w:color="000000" w:sz="4" w:val="single"/>
              <w:right w:color="000000" w:sz="4" w:val="single"/>
            </w:tcBorders>
            <w:shd w:fill="FFFFFF" w:val="clear"/>
          </w:tcPr>
          <w:p w14:paraId="99040000">
            <w:pPr>
              <w:spacing w:line="240" w:lineRule="auto"/>
              <w:ind w:firstLine="0" w:left="-57"/>
              <w:jc w:val="center"/>
              <w:rPr>
                <w:rFonts w:ascii="Times New Roman" w:hAnsi="Times New Roman"/>
                <w:color w:val="000000"/>
                <w:sz w:val="28"/>
              </w:rPr>
            </w:pPr>
            <w:r>
              <w:rPr>
                <w:rFonts w:ascii="Times New Roman" w:hAnsi="Times New Roman"/>
                <w:color w:val="000000"/>
                <w:sz w:val="28"/>
              </w:rPr>
              <w:t>1.9.1</w:t>
            </w:r>
          </w:p>
        </w:tc>
        <w:tc>
          <w:tcPr>
            <w:tcW w:type="dxa" w:w="4502"/>
            <w:gridSpan w:val="2"/>
            <w:tcBorders>
              <w:top w:color="000000" w:sz="4" w:val="single"/>
              <w:left w:color="000000" w:sz="4" w:val="single"/>
              <w:bottom w:color="000000" w:sz="4" w:val="single"/>
              <w:right w:color="000000" w:sz="4" w:val="single"/>
            </w:tcBorders>
            <w:shd w:fill="FFFFFF" w:val="clear"/>
          </w:tcPr>
          <w:p w14:paraId="9A040000">
            <w:pPr>
              <w:keepNext w:val="1"/>
              <w:keepLines w:val="1"/>
              <w:spacing w:line="240" w:lineRule="auto"/>
              <w:ind/>
              <w:contextualSpacing w:val="1"/>
              <w:rPr>
                <w:rFonts w:ascii="Times New Roman" w:hAnsi="Times New Roman"/>
                <w:color w:val="000000"/>
                <w:sz w:val="28"/>
              </w:rPr>
            </w:pPr>
            <w:r>
              <w:rPr>
                <w:rFonts w:ascii="Times New Roman" w:hAnsi="Times New Roman"/>
                <w:color w:val="000000"/>
                <w:sz w:val="28"/>
              </w:rPr>
              <w:t>Проведение проверок в части ненадлежащего содержания общего имущества</w:t>
            </w:r>
          </w:p>
        </w:tc>
        <w:tc>
          <w:tcPr>
            <w:tcW w:type="dxa" w:w="3458"/>
            <w:gridSpan w:val="2"/>
            <w:tcBorders>
              <w:top w:color="000000" w:sz="4" w:val="single"/>
              <w:left w:color="000000" w:sz="4" w:val="single"/>
              <w:bottom w:color="000000" w:sz="4" w:val="single"/>
              <w:right w:color="000000" w:sz="4" w:val="single"/>
            </w:tcBorders>
            <w:shd w:fill="FFFFFF" w:val="clear"/>
          </w:tcPr>
          <w:p w14:paraId="9B040000">
            <w:pPr>
              <w:keepNext w:val="1"/>
              <w:keepLines w:val="1"/>
              <w:spacing w:line="240" w:lineRule="auto"/>
              <w:ind/>
              <w:rPr>
                <w:rFonts w:ascii="Times New Roman" w:hAnsi="Times New Roman"/>
                <w:color w:val="000000"/>
                <w:sz w:val="28"/>
              </w:rPr>
            </w:pPr>
            <w:r>
              <w:rPr>
                <w:rFonts w:ascii="Times New Roman" w:hAnsi="Times New Roman"/>
                <w:color w:val="000000"/>
                <w:sz w:val="28"/>
              </w:rPr>
              <w:t>улучшение условий проживания</w:t>
            </w:r>
          </w:p>
        </w:tc>
        <w:tc>
          <w:tcPr>
            <w:tcW w:type="dxa" w:w="3129"/>
            <w:gridSpan w:val="7"/>
            <w:tcBorders>
              <w:top w:color="000000" w:sz="4" w:val="single"/>
              <w:left w:color="000000" w:sz="4" w:val="single"/>
              <w:bottom w:color="000000" w:sz="4" w:val="single"/>
              <w:right w:color="000000" w:sz="4" w:val="single"/>
            </w:tcBorders>
            <w:shd w:fill="FFFFFF" w:val="clear"/>
          </w:tcPr>
          <w:p w14:paraId="9C040000">
            <w:pPr>
              <w:rPr>
                <w:rFonts w:ascii="Times New Roman" w:hAnsi="Times New Roman"/>
                <w:color w:val="000000"/>
                <w:sz w:val="28"/>
              </w:rPr>
            </w:pPr>
            <w:r>
              <w:rPr>
                <w:rFonts w:ascii="Times New Roman" w:hAnsi="Times New Roman"/>
                <w:color w:val="000000"/>
                <w:sz w:val="28"/>
              </w:rPr>
              <w:t>Отдел координации отраслей городского хозяйства Администрации города Волгодонска</w:t>
            </w:r>
          </w:p>
        </w:tc>
        <w:tc>
          <w:tcPr>
            <w:tcW w:type="dxa" w:w="1289"/>
            <w:gridSpan w:val="5"/>
            <w:tcBorders>
              <w:top w:color="000000" w:sz="4" w:val="single"/>
              <w:left w:color="000000" w:sz="4" w:val="single"/>
              <w:bottom w:color="000000" w:sz="4" w:val="single"/>
              <w:right w:color="000000" w:sz="4" w:val="single"/>
            </w:tcBorders>
            <w:shd w:fill="FFFFFF" w:val="clear"/>
          </w:tcPr>
          <w:p w14:paraId="9D040000">
            <w:pPr>
              <w:keepNext w:val="1"/>
              <w:keepLines w:val="1"/>
              <w:spacing w:line="240" w:lineRule="auto"/>
              <w:ind/>
              <w:jc w:val="center"/>
              <w:rPr>
                <w:rFonts w:ascii="Times New Roman" w:hAnsi="Times New Roman"/>
                <w:color w:val="000000"/>
                <w:sz w:val="28"/>
              </w:rPr>
            </w:pPr>
            <w:r>
              <w:rPr>
                <w:rFonts w:ascii="Times New Roman" w:hAnsi="Times New Roman"/>
                <w:color w:val="000000"/>
                <w:sz w:val="28"/>
              </w:rPr>
              <w:t>весь период</w:t>
            </w:r>
          </w:p>
        </w:tc>
        <w:tc>
          <w:tcPr>
            <w:tcW w:type="dxa" w:w="1400"/>
            <w:gridSpan w:val="2"/>
            <w:tcBorders>
              <w:top w:color="000000" w:sz="4" w:val="single"/>
              <w:left w:color="000000" w:sz="4" w:val="single"/>
              <w:bottom w:color="000000" w:sz="4" w:val="single"/>
              <w:right w:color="000000" w:sz="4" w:val="single"/>
            </w:tcBorders>
            <w:shd w:fill="FFFFFF" w:val="clear"/>
          </w:tcPr>
          <w:p w14:paraId="9E040000">
            <w:pPr>
              <w:keepNext w:val="1"/>
              <w:keepLines w:val="1"/>
              <w:spacing w:line="240" w:lineRule="auto"/>
              <w:ind/>
              <w:jc w:val="center"/>
              <w:rPr>
                <w:rFonts w:ascii="Times New Roman" w:hAnsi="Times New Roman"/>
                <w:color w:val="000000"/>
                <w:sz w:val="28"/>
              </w:rPr>
            </w:pPr>
            <w:r>
              <w:rPr>
                <w:rFonts w:ascii="Times New Roman" w:hAnsi="Times New Roman"/>
                <w:color w:val="000000"/>
                <w:sz w:val="28"/>
              </w:rPr>
              <w:t>См.1.9</w:t>
            </w:r>
          </w:p>
        </w:tc>
      </w:tr>
      <w:tr>
        <w:tc>
          <w:tcPr>
            <w:tcW w:type="dxa" w:w="905"/>
            <w:tcBorders>
              <w:top w:color="000000" w:sz="4" w:val="single"/>
              <w:left w:color="000000" w:sz="4" w:val="single"/>
              <w:bottom w:color="000000" w:sz="4" w:val="single"/>
              <w:right w:color="000000" w:sz="4" w:val="single"/>
            </w:tcBorders>
            <w:shd w:fill="FFFFFF" w:val="clear"/>
          </w:tcPr>
          <w:p w14:paraId="9F040000">
            <w:pPr>
              <w:spacing w:line="240" w:lineRule="auto"/>
              <w:ind w:firstLine="0" w:left="-57"/>
              <w:jc w:val="center"/>
              <w:rPr>
                <w:rFonts w:ascii="Times New Roman" w:hAnsi="Times New Roman"/>
                <w:color w:val="000000"/>
                <w:sz w:val="28"/>
              </w:rPr>
            </w:pPr>
            <w:r>
              <w:rPr>
                <w:rFonts w:ascii="Times New Roman" w:hAnsi="Times New Roman"/>
                <w:color w:val="000000"/>
                <w:sz w:val="28"/>
              </w:rPr>
              <w:t>1.9.2</w:t>
            </w:r>
          </w:p>
        </w:tc>
        <w:tc>
          <w:tcPr>
            <w:tcW w:type="dxa" w:w="4502"/>
            <w:gridSpan w:val="2"/>
            <w:tcBorders>
              <w:top w:color="000000" w:sz="4" w:val="single"/>
              <w:left w:color="000000" w:sz="4" w:val="single"/>
              <w:bottom w:color="000000" w:sz="4" w:val="single"/>
              <w:right w:color="000000" w:sz="4" w:val="single"/>
            </w:tcBorders>
            <w:shd w:fill="FFFFFF" w:val="clear"/>
          </w:tcPr>
          <w:p w14:paraId="A0040000">
            <w:pPr>
              <w:keepNext w:val="1"/>
              <w:keepLines w:val="1"/>
              <w:spacing w:line="240" w:lineRule="auto"/>
              <w:ind/>
              <w:contextualSpacing w:val="1"/>
              <w:rPr>
                <w:rFonts w:ascii="Times New Roman" w:hAnsi="Times New Roman"/>
                <w:color w:val="000000"/>
                <w:sz w:val="28"/>
              </w:rPr>
            </w:pPr>
            <w:r>
              <w:rPr>
                <w:rFonts w:ascii="Times New Roman" w:hAnsi="Times New Roman"/>
                <w:color w:val="000000"/>
                <w:sz w:val="28"/>
              </w:rPr>
              <w:t>Анализ способов управления многоквартирными домами</w:t>
            </w:r>
          </w:p>
        </w:tc>
        <w:tc>
          <w:tcPr>
            <w:tcW w:type="dxa" w:w="3458"/>
            <w:gridSpan w:val="2"/>
            <w:tcBorders>
              <w:top w:color="000000" w:sz="4" w:val="single"/>
              <w:left w:color="000000" w:sz="4" w:val="single"/>
              <w:bottom w:color="000000" w:sz="4" w:val="single"/>
              <w:right w:color="000000" w:sz="4" w:val="single"/>
            </w:tcBorders>
            <w:shd w:fill="FFFFFF" w:val="clear"/>
          </w:tcPr>
          <w:p w14:paraId="A1040000">
            <w:pPr>
              <w:keepNext w:val="1"/>
              <w:keepLines w:val="1"/>
              <w:spacing w:line="240" w:lineRule="auto"/>
              <w:ind/>
              <w:rPr>
                <w:rFonts w:ascii="Times New Roman" w:hAnsi="Times New Roman"/>
                <w:color w:val="000000"/>
                <w:sz w:val="28"/>
              </w:rPr>
            </w:pPr>
            <w:r>
              <w:rPr>
                <w:rFonts w:ascii="Times New Roman" w:hAnsi="Times New Roman"/>
                <w:color w:val="000000"/>
                <w:sz w:val="28"/>
              </w:rPr>
              <w:t>улучшение условий проживания</w:t>
            </w:r>
          </w:p>
        </w:tc>
        <w:tc>
          <w:tcPr>
            <w:tcW w:type="dxa" w:w="3129"/>
            <w:gridSpan w:val="7"/>
            <w:tcBorders>
              <w:top w:color="000000" w:sz="4" w:val="single"/>
              <w:left w:color="000000" w:sz="4" w:val="single"/>
              <w:bottom w:color="000000" w:sz="4" w:val="single"/>
              <w:right w:color="000000" w:sz="4" w:val="single"/>
            </w:tcBorders>
            <w:shd w:fill="FFFFFF" w:val="clear"/>
          </w:tcPr>
          <w:p w14:paraId="A2040000">
            <w:pPr>
              <w:rPr>
                <w:rFonts w:ascii="Times New Roman" w:hAnsi="Times New Roman"/>
                <w:color w:val="000000"/>
                <w:sz w:val="28"/>
              </w:rPr>
            </w:pPr>
            <w:r>
              <w:rPr>
                <w:rFonts w:ascii="Times New Roman" w:hAnsi="Times New Roman"/>
                <w:color w:val="000000"/>
                <w:sz w:val="28"/>
              </w:rPr>
              <w:t>МКУ «Департамент строительства и городского хозяйства»</w:t>
            </w:r>
          </w:p>
        </w:tc>
        <w:tc>
          <w:tcPr>
            <w:tcW w:type="dxa" w:w="1289"/>
            <w:gridSpan w:val="5"/>
            <w:tcBorders>
              <w:top w:color="000000" w:sz="4" w:val="single"/>
              <w:left w:color="000000" w:sz="4" w:val="single"/>
              <w:bottom w:color="000000" w:sz="4" w:val="single"/>
              <w:right w:color="000000" w:sz="4" w:val="single"/>
            </w:tcBorders>
            <w:shd w:fill="FFFFFF" w:val="clear"/>
          </w:tcPr>
          <w:p w14:paraId="A3040000">
            <w:pPr>
              <w:keepNext w:val="1"/>
              <w:keepLines w:val="1"/>
              <w:spacing w:line="240" w:lineRule="auto"/>
              <w:ind/>
              <w:jc w:val="center"/>
              <w:rPr>
                <w:rFonts w:ascii="Times New Roman" w:hAnsi="Times New Roman"/>
                <w:color w:val="000000"/>
                <w:sz w:val="28"/>
              </w:rPr>
            </w:pPr>
            <w:r>
              <w:rPr>
                <w:rFonts w:ascii="Times New Roman" w:hAnsi="Times New Roman"/>
                <w:color w:val="000000"/>
                <w:sz w:val="28"/>
              </w:rPr>
              <w:t>весь период</w:t>
            </w:r>
          </w:p>
        </w:tc>
        <w:tc>
          <w:tcPr>
            <w:tcW w:type="dxa" w:w="1400"/>
            <w:gridSpan w:val="2"/>
            <w:tcBorders>
              <w:top w:color="000000" w:sz="4" w:val="single"/>
              <w:left w:color="000000" w:sz="4" w:val="single"/>
              <w:bottom w:color="000000" w:sz="4" w:val="single"/>
              <w:right w:color="000000" w:sz="4" w:val="single"/>
            </w:tcBorders>
            <w:shd w:fill="FFFFFF" w:val="clear"/>
          </w:tcPr>
          <w:p w14:paraId="A4040000">
            <w:pPr>
              <w:keepNext w:val="1"/>
              <w:keepLines w:val="1"/>
              <w:spacing w:line="240" w:lineRule="auto"/>
              <w:ind/>
              <w:jc w:val="center"/>
              <w:rPr>
                <w:rFonts w:ascii="Times New Roman" w:hAnsi="Times New Roman"/>
                <w:color w:val="000000"/>
                <w:sz w:val="28"/>
              </w:rPr>
            </w:pPr>
            <w:r>
              <w:rPr>
                <w:rFonts w:ascii="Times New Roman" w:hAnsi="Times New Roman"/>
                <w:color w:val="000000"/>
                <w:sz w:val="28"/>
              </w:rPr>
              <w:t>100% выбраны способы управления МКД</w:t>
            </w:r>
          </w:p>
        </w:tc>
      </w:tr>
      <w:tr>
        <w:tc>
          <w:tcPr>
            <w:tcW w:type="dxa" w:w="905"/>
            <w:tcBorders>
              <w:top w:color="000000" w:sz="4" w:val="single"/>
              <w:left w:color="000000" w:sz="4" w:val="single"/>
              <w:bottom w:color="000000" w:sz="4" w:val="single"/>
              <w:right w:color="000000" w:sz="4" w:val="single"/>
            </w:tcBorders>
            <w:shd w:fill="FFFFFF" w:val="clear"/>
          </w:tcPr>
          <w:p w14:paraId="A5040000">
            <w:pPr>
              <w:spacing w:line="240" w:lineRule="auto"/>
              <w:ind w:firstLine="0" w:left="-57"/>
              <w:jc w:val="center"/>
              <w:rPr>
                <w:rFonts w:ascii="Times New Roman" w:hAnsi="Times New Roman"/>
                <w:color w:val="000000"/>
                <w:sz w:val="28"/>
              </w:rPr>
            </w:pPr>
            <w:r>
              <w:rPr>
                <w:rFonts w:ascii="Times New Roman" w:hAnsi="Times New Roman"/>
                <w:color w:val="000000"/>
                <w:sz w:val="28"/>
              </w:rPr>
              <w:t>1.9.3</w:t>
            </w:r>
          </w:p>
        </w:tc>
        <w:tc>
          <w:tcPr>
            <w:tcW w:type="dxa" w:w="4502"/>
            <w:gridSpan w:val="2"/>
            <w:tcBorders>
              <w:top w:color="000000" w:sz="4" w:val="single"/>
              <w:left w:color="000000" w:sz="4" w:val="single"/>
              <w:bottom w:color="000000" w:sz="4" w:val="single"/>
              <w:right w:color="000000" w:sz="4" w:val="single"/>
            </w:tcBorders>
            <w:shd w:fill="FFFFFF" w:val="clear"/>
          </w:tcPr>
          <w:p w14:paraId="A6040000">
            <w:pPr>
              <w:keepNext w:val="1"/>
              <w:keepLines w:val="1"/>
              <w:spacing w:line="240" w:lineRule="auto"/>
              <w:ind/>
              <w:contextualSpacing w:val="1"/>
              <w:rPr>
                <w:rFonts w:ascii="Times New Roman" w:hAnsi="Times New Roman"/>
                <w:color w:val="000000"/>
                <w:sz w:val="28"/>
              </w:rPr>
            </w:pPr>
            <w:r>
              <w:rPr>
                <w:rFonts w:ascii="Times New Roman" w:hAnsi="Times New Roman"/>
                <w:color w:val="000000"/>
                <w:sz w:val="28"/>
              </w:rPr>
              <w:t>Анализ реализации выбранных способов управления многоквартирными домами</w:t>
            </w:r>
          </w:p>
        </w:tc>
        <w:tc>
          <w:tcPr>
            <w:tcW w:type="dxa" w:w="3458"/>
            <w:gridSpan w:val="2"/>
            <w:tcBorders>
              <w:top w:color="000000" w:sz="4" w:val="single"/>
              <w:left w:color="000000" w:sz="4" w:val="single"/>
              <w:bottom w:color="000000" w:sz="4" w:val="single"/>
              <w:right w:color="000000" w:sz="4" w:val="single"/>
            </w:tcBorders>
            <w:shd w:fill="FFFFFF" w:val="clear"/>
          </w:tcPr>
          <w:p w14:paraId="A7040000">
            <w:pPr>
              <w:keepNext w:val="1"/>
              <w:keepLines w:val="1"/>
              <w:spacing w:line="240" w:lineRule="auto"/>
              <w:ind/>
              <w:rPr>
                <w:rFonts w:ascii="Times New Roman" w:hAnsi="Times New Roman"/>
                <w:color w:val="000000"/>
                <w:sz w:val="28"/>
              </w:rPr>
            </w:pPr>
            <w:r>
              <w:rPr>
                <w:rFonts w:ascii="Times New Roman" w:hAnsi="Times New Roman"/>
                <w:color w:val="000000"/>
                <w:sz w:val="28"/>
              </w:rPr>
              <w:t>улучшение условий проживания</w:t>
            </w:r>
          </w:p>
        </w:tc>
        <w:tc>
          <w:tcPr>
            <w:tcW w:type="dxa" w:w="3129"/>
            <w:gridSpan w:val="7"/>
            <w:tcBorders>
              <w:top w:color="000000" w:sz="4" w:val="single"/>
              <w:left w:color="000000" w:sz="4" w:val="single"/>
              <w:bottom w:color="000000" w:sz="4" w:val="single"/>
              <w:right w:color="000000" w:sz="4" w:val="single"/>
            </w:tcBorders>
            <w:shd w:fill="FFFFFF" w:val="clear"/>
          </w:tcPr>
          <w:p w14:paraId="A8040000">
            <w:pPr>
              <w:rPr>
                <w:rFonts w:ascii="Times New Roman" w:hAnsi="Times New Roman"/>
                <w:color w:val="000000"/>
                <w:sz w:val="28"/>
              </w:rPr>
            </w:pPr>
            <w:r>
              <w:rPr>
                <w:rFonts w:ascii="Times New Roman" w:hAnsi="Times New Roman"/>
                <w:color w:val="000000"/>
                <w:sz w:val="28"/>
              </w:rPr>
              <w:t>МКУ «Департамент строительства и городского хозяйства»</w:t>
            </w:r>
          </w:p>
        </w:tc>
        <w:tc>
          <w:tcPr>
            <w:tcW w:type="dxa" w:w="1289"/>
            <w:gridSpan w:val="5"/>
            <w:tcBorders>
              <w:top w:color="000000" w:sz="4" w:val="single"/>
              <w:left w:color="000000" w:sz="4" w:val="single"/>
              <w:bottom w:color="000000" w:sz="4" w:val="single"/>
              <w:right w:color="000000" w:sz="4" w:val="single"/>
            </w:tcBorders>
            <w:shd w:fill="FFFFFF" w:val="clear"/>
          </w:tcPr>
          <w:p w14:paraId="A9040000">
            <w:pPr>
              <w:keepNext w:val="1"/>
              <w:keepLines w:val="1"/>
              <w:spacing w:line="240" w:lineRule="auto"/>
              <w:ind/>
              <w:jc w:val="center"/>
              <w:rPr>
                <w:rFonts w:ascii="Times New Roman" w:hAnsi="Times New Roman"/>
                <w:color w:val="000000"/>
                <w:sz w:val="28"/>
              </w:rPr>
            </w:pPr>
            <w:r>
              <w:rPr>
                <w:rFonts w:ascii="Times New Roman" w:hAnsi="Times New Roman"/>
                <w:color w:val="000000"/>
                <w:sz w:val="28"/>
              </w:rPr>
              <w:t>весь период</w:t>
            </w:r>
          </w:p>
        </w:tc>
        <w:tc>
          <w:tcPr>
            <w:tcW w:type="dxa" w:w="1400"/>
            <w:gridSpan w:val="2"/>
            <w:tcBorders>
              <w:top w:color="000000" w:sz="4" w:val="single"/>
              <w:left w:color="000000" w:sz="4" w:val="single"/>
              <w:bottom w:color="000000" w:sz="4" w:val="single"/>
              <w:right w:color="000000" w:sz="4" w:val="single"/>
            </w:tcBorders>
            <w:shd w:fill="FFFFFF" w:val="clear"/>
          </w:tcPr>
          <w:p w14:paraId="AA040000">
            <w:pPr>
              <w:keepNext w:val="1"/>
              <w:keepLines w:val="1"/>
              <w:spacing w:line="240" w:lineRule="auto"/>
              <w:ind/>
              <w:jc w:val="center"/>
              <w:rPr>
                <w:rFonts w:ascii="Times New Roman" w:hAnsi="Times New Roman"/>
                <w:color w:val="000000"/>
                <w:sz w:val="28"/>
              </w:rPr>
            </w:pPr>
            <w:r>
              <w:rPr>
                <w:rFonts w:ascii="Times New Roman" w:hAnsi="Times New Roman"/>
                <w:color w:val="000000"/>
                <w:sz w:val="28"/>
              </w:rPr>
              <w:t xml:space="preserve">100% реализованы способы управления МКД </w:t>
            </w:r>
          </w:p>
        </w:tc>
      </w:tr>
      <w:tr>
        <w:tc>
          <w:tcPr>
            <w:tcW w:type="dxa" w:w="905"/>
            <w:tcBorders>
              <w:top w:color="000000" w:sz="4" w:val="single"/>
              <w:left w:color="000000" w:sz="4" w:val="single"/>
              <w:bottom w:color="000000" w:sz="4" w:val="single"/>
              <w:right w:color="000000" w:sz="4" w:val="single"/>
            </w:tcBorders>
            <w:shd w:fill="FFFFFF" w:val="clear"/>
          </w:tcPr>
          <w:p w14:paraId="AB040000">
            <w:pPr>
              <w:spacing w:line="240" w:lineRule="auto"/>
              <w:ind w:firstLine="0" w:left="-57"/>
              <w:jc w:val="center"/>
              <w:rPr>
                <w:rFonts w:ascii="Times New Roman" w:hAnsi="Times New Roman"/>
                <w:color w:val="000000"/>
                <w:sz w:val="28"/>
              </w:rPr>
            </w:pPr>
            <w:r>
              <w:rPr>
                <w:rFonts w:ascii="Times New Roman" w:hAnsi="Times New Roman"/>
                <w:color w:val="000000"/>
                <w:sz w:val="28"/>
              </w:rPr>
              <w:t>1.9.4</w:t>
            </w:r>
          </w:p>
        </w:tc>
        <w:tc>
          <w:tcPr>
            <w:tcW w:type="dxa" w:w="4502"/>
            <w:gridSpan w:val="2"/>
            <w:tcBorders>
              <w:top w:color="000000" w:sz="4" w:val="single"/>
              <w:left w:color="000000" w:sz="4" w:val="single"/>
              <w:bottom w:color="000000" w:sz="4" w:val="single"/>
              <w:right w:color="000000" w:sz="4" w:val="single"/>
            </w:tcBorders>
            <w:shd w:fill="FFFFFF" w:val="clear"/>
          </w:tcPr>
          <w:p w14:paraId="AC040000">
            <w:pPr>
              <w:keepNext w:val="1"/>
              <w:keepLines w:val="1"/>
              <w:spacing w:line="240" w:lineRule="auto"/>
              <w:ind/>
              <w:contextualSpacing w:val="1"/>
              <w:rPr>
                <w:rFonts w:ascii="Times New Roman" w:hAnsi="Times New Roman"/>
                <w:color w:val="000000"/>
                <w:sz w:val="28"/>
              </w:rPr>
            </w:pPr>
            <w:r>
              <w:rPr>
                <w:rFonts w:ascii="Times New Roman" w:hAnsi="Times New Roman"/>
                <w:color w:val="000000"/>
                <w:sz w:val="28"/>
              </w:rPr>
              <w:t>Привлечение управляющих компаний к участию в областном конкурсе  «Лучшая организация в сфере управления многоквартирными домами в Ростовской области»</w:t>
            </w:r>
          </w:p>
        </w:tc>
        <w:tc>
          <w:tcPr>
            <w:tcW w:type="dxa" w:w="3458"/>
            <w:gridSpan w:val="2"/>
            <w:tcBorders>
              <w:top w:color="000000" w:sz="4" w:val="single"/>
              <w:left w:color="000000" w:sz="4" w:val="single"/>
              <w:bottom w:color="000000" w:sz="4" w:val="single"/>
              <w:right w:color="000000" w:sz="4" w:val="single"/>
            </w:tcBorders>
            <w:shd w:fill="FFFFFF" w:val="clear"/>
          </w:tcPr>
          <w:p w14:paraId="AD040000">
            <w:pPr>
              <w:keepNext w:val="1"/>
              <w:keepLines w:val="1"/>
              <w:spacing w:line="240" w:lineRule="auto"/>
              <w:ind/>
              <w:rPr>
                <w:rFonts w:ascii="Times New Roman" w:hAnsi="Times New Roman"/>
                <w:color w:val="000000"/>
                <w:sz w:val="28"/>
              </w:rPr>
            </w:pPr>
            <w:r>
              <w:rPr>
                <w:rFonts w:ascii="Times New Roman" w:hAnsi="Times New Roman"/>
                <w:color w:val="000000"/>
                <w:sz w:val="28"/>
              </w:rPr>
              <w:t>улучшение условий проживания</w:t>
            </w:r>
          </w:p>
        </w:tc>
        <w:tc>
          <w:tcPr>
            <w:tcW w:type="dxa" w:w="3129"/>
            <w:gridSpan w:val="7"/>
            <w:tcBorders>
              <w:top w:color="000000" w:sz="4" w:val="single"/>
              <w:left w:color="000000" w:sz="4" w:val="single"/>
              <w:bottom w:color="000000" w:sz="4" w:val="single"/>
              <w:right w:color="000000" w:sz="4" w:val="single"/>
            </w:tcBorders>
            <w:shd w:fill="FFFFFF" w:val="clear"/>
          </w:tcPr>
          <w:p w14:paraId="AE040000">
            <w:pPr>
              <w:rPr>
                <w:rFonts w:ascii="Times New Roman" w:hAnsi="Times New Roman"/>
                <w:color w:val="000000"/>
                <w:sz w:val="28"/>
              </w:rPr>
            </w:pPr>
            <w:r>
              <w:rPr>
                <w:rFonts w:ascii="Times New Roman" w:hAnsi="Times New Roman"/>
                <w:color w:val="000000"/>
                <w:sz w:val="28"/>
              </w:rPr>
              <w:t>МКУ «Департамент строительства и городского хозяйства»</w:t>
            </w:r>
          </w:p>
        </w:tc>
        <w:tc>
          <w:tcPr>
            <w:tcW w:type="dxa" w:w="1289"/>
            <w:gridSpan w:val="5"/>
            <w:tcBorders>
              <w:top w:color="000000" w:sz="4" w:val="single"/>
              <w:left w:color="000000" w:sz="4" w:val="single"/>
              <w:bottom w:color="000000" w:sz="4" w:val="single"/>
              <w:right w:color="000000" w:sz="4" w:val="single"/>
            </w:tcBorders>
            <w:shd w:fill="FFFFFF" w:val="clear"/>
          </w:tcPr>
          <w:p w14:paraId="AF040000">
            <w:pPr>
              <w:keepNext w:val="1"/>
              <w:keepLines w:val="1"/>
              <w:spacing w:line="240" w:lineRule="auto"/>
              <w:ind/>
              <w:jc w:val="center"/>
              <w:rPr>
                <w:rFonts w:ascii="Times New Roman" w:hAnsi="Times New Roman"/>
                <w:color w:val="000000"/>
                <w:sz w:val="28"/>
              </w:rPr>
            </w:pPr>
            <w:r>
              <w:rPr>
                <w:rFonts w:ascii="Times New Roman" w:hAnsi="Times New Roman"/>
                <w:color w:val="000000"/>
                <w:sz w:val="28"/>
              </w:rPr>
              <w:t>ежегодно</w:t>
            </w:r>
          </w:p>
        </w:tc>
        <w:tc>
          <w:tcPr>
            <w:tcW w:type="dxa" w:w="1400"/>
            <w:gridSpan w:val="2"/>
            <w:tcBorders>
              <w:top w:color="000000" w:sz="4" w:val="single"/>
              <w:left w:color="000000" w:sz="4" w:val="single"/>
              <w:bottom w:color="000000" w:sz="4" w:val="single"/>
              <w:right w:color="000000" w:sz="4" w:val="single"/>
            </w:tcBorders>
            <w:shd w:fill="FFFFFF" w:val="clear"/>
          </w:tcPr>
          <w:p w14:paraId="B0040000">
            <w:pPr>
              <w:keepNext w:val="1"/>
              <w:keepLines w:val="1"/>
              <w:spacing w:line="240" w:lineRule="auto"/>
              <w:ind/>
              <w:jc w:val="center"/>
              <w:rPr>
                <w:rFonts w:ascii="Times New Roman" w:hAnsi="Times New Roman"/>
                <w:color w:val="000000"/>
                <w:sz w:val="28"/>
              </w:rPr>
            </w:pPr>
            <w:r>
              <w:rPr>
                <w:rFonts w:ascii="Times New Roman" w:hAnsi="Times New Roman"/>
                <w:color w:val="000000"/>
                <w:sz w:val="28"/>
              </w:rPr>
              <w:t>в 2021 году к участию в конкурсе привлечено 5 управляющих организаций</w:t>
            </w:r>
          </w:p>
        </w:tc>
      </w:tr>
      <w:tr>
        <w:trPr>
          <w:trHeight w:hRule="atLeast" w:val="871"/>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B1040000">
            <w:pPr>
              <w:keepNext w:val="1"/>
              <w:keepLines w:val="1"/>
              <w:spacing w:line="240" w:lineRule="auto"/>
              <w:ind/>
              <w:jc w:val="center"/>
              <w:rPr>
                <w:rFonts w:ascii="Times New Roman" w:hAnsi="Times New Roman"/>
                <w:b w:val="1"/>
                <w:color w:val="000000"/>
                <w:sz w:val="28"/>
              </w:rPr>
            </w:pPr>
            <w:r>
              <w:rPr>
                <w:rFonts w:ascii="Times New Roman" w:hAnsi="Times New Roman"/>
                <w:b w:val="1"/>
                <w:color w:val="000000"/>
                <w:sz w:val="28"/>
              </w:rPr>
              <w:t>1.10 Рынок оказания услуг по перевозке пассажиров автомобильным транспортом</w:t>
            </w:r>
          </w:p>
          <w:p w14:paraId="B2040000">
            <w:pPr>
              <w:keepNext w:val="1"/>
              <w:keepLines w:val="1"/>
              <w:spacing w:line="240" w:lineRule="auto"/>
              <w:ind/>
              <w:jc w:val="center"/>
              <w:rPr>
                <w:rFonts w:ascii="Times New Roman" w:hAnsi="Times New Roman"/>
                <w:b w:val="1"/>
                <w:color w:val="FF0000"/>
                <w:sz w:val="28"/>
              </w:rPr>
            </w:pPr>
            <w:r>
              <w:rPr>
                <w:rFonts w:ascii="Times New Roman" w:hAnsi="Times New Roman"/>
                <w:b w:val="1"/>
                <w:color w:val="000000"/>
                <w:sz w:val="28"/>
              </w:rPr>
              <w:t>по муниципальным маршрутам регулярных перевозок</w:t>
            </w:r>
          </w:p>
        </w:tc>
      </w:tr>
      <w:tr>
        <w:tc>
          <w:tcPr>
            <w:tcW w:type="dxa" w:w="14683"/>
            <w:gridSpan w:val="19"/>
            <w:tcBorders>
              <w:top w:color="000000" w:sz="4" w:val="single"/>
              <w:left w:color="000000" w:sz="4" w:val="single"/>
              <w:bottom w:color="000000" w:sz="4" w:val="single"/>
              <w:right w:color="000000" w:sz="4" w:val="single"/>
            </w:tcBorders>
            <w:shd w:fill="FFFFFF" w:val="clear"/>
          </w:tcPr>
          <w:p w14:paraId="B3040000">
            <w:pPr>
              <w:widowControl w:val="0"/>
              <w:spacing w:before="17" w:line="240" w:lineRule="auto"/>
              <w:ind w:firstLine="0" w:left="51" w:right="31"/>
              <w:jc w:val="both"/>
              <w:rPr>
                <w:rFonts w:ascii="Times New Roman" w:hAnsi="Times New Roman"/>
                <w:color w:val="000000"/>
                <w:sz w:val="28"/>
              </w:rPr>
            </w:pPr>
            <w:r>
              <w:rPr>
                <w:rFonts w:ascii="Times New Roman" w:hAnsi="Times New Roman"/>
                <w:color w:val="000000"/>
                <w:sz w:val="28"/>
              </w:rPr>
              <w:t xml:space="preserve">         На</w:t>
            </w:r>
            <w:r>
              <w:rPr>
                <w:rFonts w:ascii="Times New Roman" w:hAnsi="Times New Roman"/>
                <w:color w:val="000000"/>
                <w:spacing w:val="12"/>
                <w:sz w:val="28"/>
              </w:rPr>
              <w:t xml:space="preserve"> </w:t>
            </w:r>
            <w:r>
              <w:rPr>
                <w:rFonts w:ascii="Times New Roman" w:hAnsi="Times New Roman"/>
                <w:color w:val="000000"/>
                <w:sz w:val="28"/>
              </w:rPr>
              <w:t>рынке</w:t>
            </w:r>
            <w:r>
              <w:rPr>
                <w:rFonts w:ascii="Times New Roman" w:hAnsi="Times New Roman"/>
                <w:color w:val="000000"/>
                <w:spacing w:val="12"/>
                <w:sz w:val="28"/>
              </w:rPr>
              <w:t xml:space="preserve"> </w:t>
            </w:r>
            <w:r>
              <w:rPr>
                <w:rFonts w:ascii="Times New Roman" w:hAnsi="Times New Roman"/>
                <w:color w:val="000000"/>
                <w:sz w:val="28"/>
              </w:rPr>
              <w:t>пассажирских</w:t>
            </w:r>
            <w:r>
              <w:rPr>
                <w:rFonts w:ascii="Times New Roman" w:hAnsi="Times New Roman"/>
                <w:color w:val="000000"/>
                <w:spacing w:val="12"/>
                <w:sz w:val="28"/>
              </w:rPr>
              <w:t xml:space="preserve"> </w:t>
            </w:r>
            <w:r>
              <w:rPr>
                <w:rFonts w:ascii="Times New Roman" w:hAnsi="Times New Roman"/>
                <w:color w:val="000000"/>
                <w:sz w:val="28"/>
              </w:rPr>
              <w:t>транспортных</w:t>
            </w:r>
            <w:r>
              <w:rPr>
                <w:rFonts w:ascii="Times New Roman" w:hAnsi="Times New Roman"/>
                <w:color w:val="000000"/>
                <w:spacing w:val="12"/>
                <w:sz w:val="28"/>
              </w:rPr>
              <w:t xml:space="preserve"> </w:t>
            </w:r>
            <w:r>
              <w:rPr>
                <w:rFonts w:ascii="Times New Roman" w:hAnsi="Times New Roman"/>
                <w:color w:val="000000"/>
                <w:sz w:val="28"/>
              </w:rPr>
              <w:t>услуг</w:t>
            </w:r>
            <w:r>
              <w:rPr>
                <w:rFonts w:ascii="Times New Roman" w:hAnsi="Times New Roman"/>
                <w:color w:val="000000"/>
                <w:spacing w:val="12"/>
                <w:sz w:val="28"/>
              </w:rPr>
              <w:t xml:space="preserve"> </w:t>
            </w:r>
            <w:r>
              <w:rPr>
                <w:rFonts w:ascii="Times New Roman" w:hAnsi="Times New Roman"/>
                <w:color w:val="000000"/>
                <w:sz w:val="28"/>
              </w:rPr>
              <w:t>в</w:t>
            </w:r>
            <w:r>
              <w:rPr>
                <w:rFonts w:ascii="Times New Roman" w:hAnsi="Times New Roman"/>
                <w:color w:val="000000"/>
                <w:spacing w:val="12"/>
                <w:sz w:val="28"/>
              </w:rPr>
              <w:t xml:space="preserve"> городе Волгодонске </w:t>
            </w:r>
            <w:r>
              <w:rPr>
                <w:rFonts w:ascii="Times New Roman" w:hAnsi="Times New Roman"/>
                <w:color w:val="000000"/>
                <w:sz w:val="28"/>
              </w:rPr>
              <w:t>осуществляют</w:t>
            </w:r>
            <w:r>
              <w:rPr>
                <w:rFonts w:ascii="Times New Roman" w:hAnsi="Times New Roman"/>
                <w:color w:val="000000"/>
                <w:spacing w:val="12"/>
                <w:sz w:val="28"/>
              </w:rPr>
              <w:t xml:space="preserve"> </w:t>
            </w:r>
            <w:r>
              <w:rPr>
                <w:rFonts w:ascii="Times New Roman" w:hAnsi="Times New Roman"/>
                <w:color w:val="000000"/>
                <w:sz w:val="28"/>
              </w:rPr>
              <w:t>деятельность</w:t>
            </w:r>
            <w:r>
              <w:rPr>
                <w:rFonts w:ascii="Times New Roman" w:hAnsi="Times New Roman"/>
                <w:color w:val="000000"/>
                <w:spacing w:val="12"/>
                <w:sz w:val="28"/>
              </w:rPr>
              <w:t xml:space="preserve"> 2 </w:t>
            </w:r>
            <w:r>
              <w:rPr>
                <w:rFonts w:ascii="Times New Roman" w:hAnsi="Times New Roman"/>
                <w:color w:val="000000"/>
                <w:sz w:val="28"/>
              </w:rPr>
              <w:t>транспортных</w:t>
            </w:r>
            <w:r>
              <w:rPr>
                <w:rFonts w:ascii="Times New Roman" w:hAnsi="Times New Roman"/>
                <w:color w:val="000000"/>
                <w:spacing w:val="12"/>
                <w:sz w:val="28"/>
              </w:rPr>
              <w:t xml:space="preserve"> </w:t>
            </w:r>
            <w:r>
              <w:rPr>
                <w:rFonts w:ascii="Times New Roman" w:hAnsi="Times New Roman"/>
                <w:color w:val="000000"/>
                <w:sz w:val="28"/>
              </w:rPr>
              <w:t>предприятия</w:t>
            </w:r>
            <w:r>
              <w:rPr>
                <w:rFonts w:ascii="Times New Roman" w:hAnsi="Times New Roman"/>
                <w:color w:val="000000"/>
                <w:spacing w:val="12"/>
                <w:sz w:val="28"/>
              </w:rPr>
              <w:t xml:space="preserve"> </w:t>
            </w:r>
            <w:r>
              <w:rPr>
                <w:rFonts w:ascii="Times New Roman" w:hAnsi="Times New Roman"/>
                <w:color w:val="000000"/>
                <w:sz w:val="28"/>
              </w:rPr>
              <w:t>различ</w:t>
            </w:r>
            <w:r>
              <w:rPr>
                <w:rFonts w:ascii="Times New Roman" w:hAnsi="Times New Roman"/>
                <w:color w:val="000000"/>
                <w:spacing w:val="1"/>
                <w:sz w:val="28"/>
              </w:rPr>
              <w:t>н</w:t>
            </w:r>
            <w:r>
              <w:rPr>
                <w:rFonts w:ascii="Times New Roman" w:hAnsi="Times New Roman"/>
                <w:color w:val="000000"/>
                <w:sz w:val="28"/>
              </w:rPr>
              <w:t>ых</w:t>
            </w:r>
            <w:r>
              <w:rPr>
                <w:rFonts w:ascii="Times New Roman" w:hAnsi="Times New Roman"/>
                <w:color w:val="000000"/>
                <w:spacing w:val="12"/>
                <w:sz w:val="28"/>
              </w:rPr>
              <w:t xml:space="preserve"> </w:t>
            </w:r>
            <w:r>
              <w:rPr>
                <w:rFonts w:ascii="Times New Roman" w:hAnsi="Times New Roman"/>
                <w:color w:val="000000"/>
                <w:sz w:val="28"/>
              </w:rPr>
              <w:t>форм</w:t>
            </w:r>
            <w:r>
              <w:rPr>
                <w:rFonts w:ascii="Times New Roman" w:hAnsi="Times New Roman"/>
                <w:color w:val="000000"/>
                <w:spacing w:val="12"/>
                <w:sz w:val="28"/>
              </w:rPr>
              <w:t xml:space="preserve"> </w:t>
            </w:r>
            <w:r>
              <w:rPr>
                <w:rFonts w:ascii="Times New Roman" w:hAnsi="Times New Roman"/>
                <w:color w:val="000000"/>
                <w:sz w:val="28"/>
              </w:rPr>
              <w:t>собственности,</w:t>
            </w:r>
            <w:r>
              <w:rPr>
                <w:rFonts w:ascii="Times New Roman" w:hAnsi="Times New Roman"/>
                <w:color w:val="000000"/>
                <w:spacing w:val="12"/>
                <w:sz w:val="28"/>
              </w:rPr>
              <w:t xml:space="preserve"> </w:t>
            </w:r>
            <w:r>
              <w:rPr>
                <w:rFonts w:ascii="Times New Roman" w:hAnsi="Times New Roman"/>
                <w:color w:val="000000"/>
                <w:sz w:val="28"/>
              </w:rPr>
              <w:t>имеющие</w:t>
            </w:r>
            <w:r>
              <w:rPr>
                <w:rFonts w:ascii="Times New Roman" w:hAnsi="Times New Roman"/>
                <w:color w:val="000000"/>
                <w:spacing w:val="12"/>
                <w:sz w:val="28"/>
              </w:rPr>
              <w:t xml:space="preserve"> </w:t>
            </w:r>
            <w:r>
              <w:rPr>
                <w:rFonts w:ascii="Times New Roman" w:hAnsi="Times New Roman"/>
                <w:color w:val="000000"/>
                <w:sz w:val="28"/>
              </w:rPr>
              <w:t>лице</w:t>
            </w:r>
            <w:r>
              <w:rPr>
                <w:rFonts w:ascii="Times New Roman" w:hAnsi="Times New Roman"/>
                <w:color w:val="000000"/>
                <w:spacing w:val="1"/>
                <w:sz w:val="28"/>
              </w:rPr>
              <w:t>н</w:t>
            </w:r>
            <w:r>
              <w:rPr>
                <w:rFonts w:ascii="Times New Roman" w:hAnsi="Times New Roman"/>
                <w:color w:val="000000"/>
                <w:sz w:val="28"/>
              </w:rPr>
              <w:t>зию на</w:t>
            </w:r>
            <w:r>
              <w:rPr>
                <w:rFonts w:ascii="Times New Roman" w:hAnsi="Times New Roman"/>
                <w:color w:val="000000"/>
                <w:spacing w:val="54"/>
                <w:sz w:val="28"/>
              </w:rPr>
              <w:t xml:space="preserve"> </w:t>
            </w:r>
            <w:r>
              <w:rPr>
                <w:rFonts w:ascii="Times New Roman" w:hAnsi="Times New Roman"/>
                <w:color w:val="000000"/>
                <w:sz w:val="28"/>
              </w:rPr>
              <w:t>перевозку</w:t>
            </w:r>
            <w:r>
              <w:rPr>
                <w:rFonts w:ascii="Times New Roman" w:hAnsi="Times New Roman"/>
                <w:color w:val="000000"/>
                <w:spacing w:val="54"/>
                <w:sz w:val="28"/>
              </w:rPr>
              <w:t xml:space="preserve"> </w:t>
            </w:r>
            <w:r>
              <w:rPr>
                <w:rFonts w:ascii="Times New Roman" w:hAnsi="Times New Roman"/>
                <w:color w:val="000000"/>
                <w:sz w:val="28"/>
              </w:rPr>
              <w:t>пассажиров.</w:t>
            </w:r>
            <w:r>
              <w:rPr>
                <w:rFonts w:ascii="Times New Roman" w:hAnsi="Times New Roman"/>
                <w:color w:val="000000"/>
                <w:spacing w:val="53"/>
                <w:sz w:val="28"/>
              </w:rPr>
              <w:t xml:space="preserve"> </w:t>
            </w:r>
            <w:r>
              <w:rPr>
                <w:rFonts w:ascii="Times New Roman" w:hAnsi="Times New Roman"/>
                <w:color w:val="000000"/>
                <w:sz w:val="28"/>
              </w:rPr>
              <w:t>Количество</w:t>
            </w:r>
            <w:r>
              <w:rPr>
                <w:rFonts w:ascii="Times New Roman" w:hAnsi="Times New Roman"/>
                <w:color w:val="000000"/>
                <w:spacing w:val="54"/>
                <w:sz w:val="28"/>
              </w:rPr>
              <w:t xml:space="preserve"> </w:t>
            </w:r>
            <w:r>
              <w:rPr>
                <w:rFonts w:ascii="Times New Roman" w:hAnsi="Times New Roman"/>
                <w:color w:val="000000"/>
                <w:sz w:val="28"/>
              </w:rPr>
              <w:t>зарегистрированных</w:t>
            </w:r>
            <w:r>
              <w:rPr>
                <w:rFonts w:ascii="Times New Roman" w:hAnsi="Times New Roman"/>
                <w:color w:val="000000"/>
                <w:spacing w:val="54"/>
                <w:sz w:val="28"/>
              </w:rPr>
              <w:t xml:space="preserve"> </w:t>
            </w:r>
            <w:r>
              <w:rPr>
                <w:rFonts w:ascii="Times New Roman" w:hAnsi="Times New Roman"/>
                <w:color w:val="000000"/>
                <w:sz w:val="28"/>
              </w:rPr>
              <w:t>автобусов</w:t>
            </w:r>
            <w:r>
              <w:rPr>
                <w:rFonts w:ascii="Times New Roman" w:hAnsi="Times New Roman"/>
                <w:color w:val="000000"/>
                <w:spacing w:val="54"/>
                <w:sz w:val="28"/>
              </w:rPr>
              <w:t xml:space="preserve"> </w:t>
            </w:r>
            <w:r>
              <w:rPr>
                <w:rFonts w:ascii="Times New Roman" w:hAnsi="Times New Roman"/>
                <w:color w:val="000000"/>
                <w:sz w:val="28"/>
              </w:rPr>
              <w:t>разных</w:t>
            </w:r>
            <w:r>
              <w:rPr>
                <w:rFonts w:ascii="Times New Roman" w:hAnsi="Times New Roman"/>
                <w:color w:val="000000"/>
                <w:spacing w:val="54"/>
                <w:sz w:val="28"/>
              </w:rPr>
              <w:t xml:space="preserve"> </w:t>
            </w:r>
            <w:r>
              <w:rPr>
                <w:rFonts w:ascii="Times New Roman" w:hAnsi="Times New Roman"/>
                <w:color w:val="000000"/>
                <w:sz w:val="28"/>
              </w:rPr>
              <w:t>классов</w:t>
            </w:r>
            <w:r>
              <w:rPr>
                <w:rFonts w:ascii="Times New Roman" w:hAnsi="Times New Roman"/>
                <w:color w:val="000000"/>
                <w:spacing w:val="53"/>
                <w:sz w:val="28"/>
              </w:rPr>
              <w:t xml:space="preserve"> </w:t>
            </w:r>
            <w:r>
              <w:rPr>
                <w:rFonts w:ascii="Times New Roman" w:hAnsi="Times New Roman"/>
                <w:color w:val="000000"/>
                <w:sz w:val="28"/>
              </w:rPr>
              <w:t>на</w:t>
            </w:r>
            <w:r>
              <w:rPr>
                <w:rFonts w:ascii="Times New Roman" w:hAnsi="Times New Roman"/>
                <w:color w:val="000000"/>
                <w:spacing w:val="53"/>
                <w:sz w:val="28"/>
              </w:rPr>
              <w:t xml:space="preserve"> </w:t>
            </w:r>
            <w:r>
              <w:rPr>
                <w:rFonts w:ascii="Times New Roman" w:hAnsi="Times New Roman"/>
                <w:color w:val="000000"/>
                <w:sz w:val="28"/>
              </w:rPr>
              <w:t>территории</w:t>
            </w:r>
            <w:r>
              <w:rPr>
                <w:rFonts w:ascii="Times New Roman" w:hAnsi="Times New Roman"/>
                <w:color w:val="000000"/>
                <w:spacing w:val="54"/>
                <w:sz w:val="28"/>
              </w:rPr>
              <w:t xml:space="preserve"> </w:t>
            </w:r>
            <w:r>
              <w:rPr>
                <w:rFonts w:ascii="Times New Roman" w:hAnsi="Times New Roman"/>
                <w:color w:val="000000"/>
                <w:sz w:val="28"/>
              </w:rPr>
              <w:t>муниципального образования «</w:t>
            </w:r>
            <w:r>
              <w:rPr>
                <w:rFonts w:ascii="Times New Roman" w:hAnsi="Times New Roman"/>
                <w:color w:val="000000"/>
                <w:spacing w:val="54"/>
                <w:sz w:val="28"/>
              </w:rPr>
              <w:t xml:space="preserve">Город Волгодонск» </w:t>
            </w:r>
            <w:r>
              <w:rPr>
                <w:rFonts w:ascii="Times New Roman" w:hAnsi="Times New Roman"/>
                <w:color w:val="000000"/>
                <w:sz w:val="28"/>
              </w:rPr>
              <w:t>составляет</w:t>
            </w:r>
            <w:r>
              <w:rPr>
                <w:rFonts w:ascii="Times New Roman" w:hAnsi="Times New Roman"/>
                <w:color w:val="000000"/>
                <w:spacing w:val="54"/>
                <w:sz w:val="28"/>
              </w:rPr>
              <w:t xml:space="preserve"> </w:t>
            </w:r>
            <w:r>
              <w:rPr>
                <w:rFonts w:ascii="Times New Roman" w:hAnsi="Times New Roman"/>
                <w:color w:val="000000"/>
                <w:sz w:val="28"/>
              </w:rPr>
              <w:t>порядка</w:t>
            </w:r>
            <w:r>
              <w:rPr>
                <w:rFonts w:ascii="Times New Roman" w:hAnsi="Times New Roman"/>
                <w:color w:val="000000"/>
                <w:spacing w:val="54"/>
                <w:sz w:val="28"/>
              </w:rPr>
              <w:t xml:space="preserve"> </w:t>
            </w:r>
            <w:r>
              <w:rPr>
                <w:rFonts w:ascii="Times New Roman" w:hAnsi="Times New Roman"/>
                <w:color w:val="000000"/>
                <w:sz w:val="28"/>
              </w:rPr>
              <w:t>94 единиц,</w:t>
            </w:r>
            <w:r>
              <w:rPr>
                <w:rFonts w:ascii="Times New Roman" w:hAnsi="Times New Roman"/>
                <w:color w:val="000000"/>
                <w:spacing w:val="54"/>
                <w:sz w:val="28"/>
              </w:rPr>
              <w:t xml:space="preserve"> </w:t>
            </w:r>
            <w:r>
              <w:rPr>
                <w:rFonts w:ascii="Times New Roman" w:hAnsi="Times New Roman"/>
                <w:color w:val="000000"/>
                <w:sz w:val="28"/>
              </w:rPr>
              <w:t>из</w:t>
            </w:r>
            <w:r>
              <w:rPr>
                <w:rFonts w:ascii="Times New Roman" w:hAnsi="Times New Roman"/>
                <w:color w:val="000000"/>
                <w:spacing w:val="54"/>
                <w:sz w:val="28"/>
              </w:rPr>
              <w:t xml:space="preserve"> </w:t>
            </w:r>
            <w:r>
              <w:rPr>
                <w:rFonts w:ascii="Times New Roman" w:hAnsi="Times New Roman"/>
                <w:color w:val="000000"/>
                <w:sz w:val="28"/>
              </w:rPr>
              <w:t>которых</w:t>
            </w:r>
            <w:r>
              <w:rPr>
                <w:rFonts w:ascii="Times New Roman" w:hAnsi="Times New Roman"/>
                <w:color w:val="000000"/>
                <w:spacing w:val="54"/>
                <w:sz w:val="28"/>
              </w:rPr>
              <w:t xml:space="preserve"> </w:t>
            </w:r>
            <w:r>
              <w:rPr>
                <w:rFonts w:ascii="Times New Roman" w:hAnsi="Times New Roman"/>
                <w:color w:val="000000"/>
                <w:sz w:val="28"/>
              </w:rPr>
              <w:t>все работают на регулярных маршрутах.</w:t>
            </w:r>
          </w:p>
          <w:p w14:paraId="B4040000">
            <w:pPr>
              <w:ind w:firstLine="708" w:left="0"/>
              <w:jc w:val="both"/>
              <w:rPr>
                <w:rFonts w:ascii="Times New Roman" w:hAnsi="Times New Roman"/>
                <w:color w:val="000000"/>
                <w:sz w:val="28"/>
              </w:rPr>
            </w:pPr>
            <w:r>
              <w:rPr>
                <w:rFonts w:ascii="Times New Roman" w:hAnsi="Times New Roman"/>
                <w:color w:val="000000"/>
                <w:sz w:val="28"/>
              </w:rPr>
              <w:t xml:space="preserve">         За 2021 год перевезено 12591,5 тыс.пассажиров, в том числе, 8000,9 тыс. чел. муниципальным предприятием «Городской пассажирский транспорт». Пассажирооборот ставил 0,193 млрд пассажиро-километра.</w:t>
            </w:r>
          </w:p>
          <w:p w14:paraId="B5040000">
            <w:pPr>
              <w:spacing w:line="0" w:lineRule="atLeast"/>
              <w:ind w:firstLine="708" w:left="0"/>
              <w:jc w:val="both"/>
              <w:rPr>
                <w:rFonts w:ascii="Times New Roman" w:hAnsi="Times New Roman"/>
                <w:color w:val="FF0000"/>
                <w:sz w:val="28"/>
              </w:rPr>
            </w:pPr>
            <w:r>
              <w:rPr>
                <w:rFonts w:ascii="Times New Roman" w:hAnsi="Times New Roman"/>
                <w:sz w:val="28"/>
              </w:rPr>
              <w:t>Всего в новой транспортной схеме, действующей с 01.10.2021 организовано 29 маршрутов (старая схема 20 маршрутов), из них 15 новых маршрутов, частично изменена схема 3-х маршрутов и оставлены без изменений 11 маршрутов (3 автобусных, 4  троллейбусных и 4 маршрута к садовым и огородным участкам).</w:t>
            </w:r>
          </w:p>
        </w:tc>
      </w:tr>
      <w:tr>
        <w:tc>
          <w:tcPr>
            <w:tcW w:type="dxa" w:w="905"/>
            <w:tcBorders>
              <w:top w:color="000000" w:sz="4" w:val="single"/>
              <w:left w:color="000000" w:sz="4" w:val="single"/>
              <w:bottom w:color="000000" w:sz="4" w:val="single"/>
              <w:right w:color="000000" w:sz="4" w:val="single"/>
            </w:tcBorders>
            <w:shd w:fill="FFFFFF" w:val="clear"/>
          </w:tcPr>
          <w:p w14:paraId="B6040000">
            <w:pPr>
              <w:spacing w:line="240" w:lineRule="auto"/>
              <w:ind w:firstLine="0" w:left="-57"/>
              <w:jc w:val="center"/>
              <w:rPr>
                <w:rFonts w:ascii="Times New Roman" w:hAnsi="Times New Roman"/>
                <w:color w:val="000000"/>
                <w:sz w:val="28"/>
              </w:rPr>
            </w:pPr>
            <w:r>
              <w:rPr>
                <w:rFonts w:ascii="Times New Roman" w:hAnsi="Times New Roman"/>
                <w:color w:val="000000"/>
                <w:sz w:val="28"/>
              </w:rPr>
              <w:t>1.10.1</w:t>
            </w:r>
          </w:p>
        </w:tc>
        <w:tc>
          <w:tcPr>
            <w:tcW w:type="dxa" w:w="4502"/>
            <w:gridSpan w:val="2"/>
            <w:tcBorders>
              <w:top w:color="000000" w:sz="4" w:val="single"/>
              <w:left w:color="000000" w:sz="4" w:val="single"/>
              <w:bottom w:color="000000" w:sz="4" w:val="single"/>
              <w:right w:color="000000" w:sz="4" w:val="single"/>
            </w:tcBorders>
          </w:tcPr>
          <w:p w14:paraId="B7040000">
            <w:pPr>
              <w:rPr>
                <w:rFonts w:ascii="Times New Roman" w:hAnsi="Times New Roman"/>
                <w:color w:val="000000"/>
                <w:sz w:val="28"/>
              </w:rPr>
            </w:pPr>
            <w:r>
              <w:rPr>
                <w:rFonts w:ascii="Times New Roman" w:hAnsi="Times New Roman"/>
                <w:color w:val="000000"/>
                <w:sz w:val="28"/>
              </w:rPr>
              <w:t>Размещение информации о критериях конкурсного отбора перевозчиков в открытом доступе в сети «Интернет»</w:t>
            </w:r>
          </w:p>
        </w:tc>
        <w:tc>
          <w:tcPr>
            <w:tcW w:type="dxa" w:w="3458"/>
            <w:gridSpan w:val="2"/>
            <w:tcBorders>
              <w:top w:color="000000" w:sz="4" w:val="single"/>
              <w:left w:color="000000" w:sz="4" w:val="single"/>
              <w:bottom w:color="000000" w:sz="4" w:val="single"/>
              <w:right w:color="000000" w:sz="4" w:val="single"/>
            </w:tcBorders>
          </w:tcPr>
          <w:p w14:paraId="B8040000">
            <w:pPr>
              <w:ind w:right="-108"/>
              <w:rPr>
                <w:rFonts w:ascii="Times New Roman" w:hAnsi="Times New Roman"/>
                <w:color w:val="000000"/>
                <w:sz w:val="28"/>
              </w:rPr>
            </w:pPr>
            <w:r>
              <w:rPr>
                <w:rFonts w:ascii="Times New Roman" w:hAnsi="Times New Roman"/>
                <w:color w:val="000000"/>
                <w:sz w:val="28"/>
              </w:rPr>
              <w:t>обеспечение максимальной доступности информации и прозрачности условий работы на рынке пассажирских перевозок наземным транспортом</w:t>
            </w:r>
          </w:p>
        </w:tc>
        <w:tc>
          <w:tcPr>
            <w:tcW w:type="dxa" w:w="2600"/>
            <w:gridSpan w:val="4"/>
            <w:tcBorders>
              <w:top w:color="000000" w:sz="4" w:val="single"/>
              <w:left w:color="000000" w:sz="4" w:val="single"/>
              <w:bottom w:color="000000" w:sz="4" w:val="single"/>
              <w:right w:color="000000" w:sz="4" w:val="single"/>
            </w:tcBorders>
            <w:shd w:fill="FFFFFF" w:val="clear"/>
          </w:tcPr>
          <w:p w14:paraId="B9040000">
            <w:pPr>
              <w:rPr>
                <w:rFonts w:ascii="Times New Roman" w:hAnsi="Times New Roman"/>
                <w:color w:val="000000"/>
                <w:sz w:val="28"/>
              </w:rPr>
            </w:pPr>
            <w:r>
              <w:rPr>
                <w:rFonts w:ascii="Times New Roman" w:hAnsi="Times New Roman"/>
                <w:color w:val="000000"/>
                <w:sz w:val="28"/>
              </w:rPr>
              <w:t>МКУ «Департамент строительства и городского хозяйства»</w:t>
            </w:r>
          </w:p>
        </w:tc>
        <w:tc>
          <w:tcPr>
            <w:tcW w:type="dxa" w:w="1399"/>
            <w:gridSpan w:val="5"/>
            <w:tcBorders>
              <w:top w:color="000000" w:sz="4" w:val="single"/>
              <w:left w:color="000000" w:sz="4" w:val="single"/>
              <w:bottom w:color="000000" w:sz="4" w:val="single"/>
              <w:right w:color="000000" w:sz="4" w:val="single"/>
            </w:tcBorders>
            <w:shd w:fill="FFFFFF" w:val="clear"/>
          </w:tcPr>
          <w:p w14:paraId="BA040000">
            <w:pPr>
              <w:ind w:firstLine="33" w:left="0"/>
              <w:contextualSpacing w:val="1"/>
              <w:jc w:val="both"/>
              <w:rPr>
                <w:rFonts w:ascii="Times New Roman" w:hAnsi="Times New Roman"/>
                <w:color w:val="000000"/>
                <w:sz w:val="28"/>
              </w:rPr>
            </w:pPr>
            <w:r>
              <w:rPr>
                <w:rFonts w:ascii="Times New Roman" w:hAnsi="Times New Roman"/>
                <w:color w:val="000000"/>
                <w:sz w:val="28"/>
              </w:rPr>
              <w:t>весь период</w:t>
            </w:r>
          </w:p>
        </w:tc>
        <w:tc>
          <w:tcPr>
            <w:tcW w:type="dxa" w:w="1819"/>
            <w:gridSpan w:val="5"/>
            <w:tcBorders>
              <w:top w:color="000000" w:sz="4" w:val="single"/>
              <w:left w:color="000000" w:sz="4" w:val="single"/>
              <w:bottom w:color="000000" w:sz="4" w:val="single"/>
              <w:right w:color="000000" w:sz="4" w:val="single"/>
            </w:tcBorders>
            <w:shd w:fill="FFFFFF" w:val="clear"/>
          </w:tcPr>
          <w:p w14:paraId="BB040000">
            <w:pPr>
              <w:ind w:firstLine="33" w:left="0"/>
              <w:contextualSpacing w:val="1"/>
              <w:jc w:val="both"/>
              <w:rPr>
                <w:rFonts w:ascii="Times New Roman" w:hAnsi="Times New Roman"/>
                <w:color w:val="FF0000"/>
                <w:sz w:val="28"/>
              </w:rPr>
            </w:pPr>
            <w:r>
              <w:rPr>
                <w:rFonts w:ascii="Times New Roman" w:hAnsi="Times New Roman"/>
                <w:sz w:val="28"/>
              </w:rPr>
              <w:t>В августе  2021 года состоялся открытый конкурс (29 маршрутов – 2 лота) автобусов большой, средней и малой вместимости на право получения свидетельства и заключения договора об осуществлении перевозок по муниципальным маршрутам регулярных перевозок по нерегулируемым тарифам на территории муниципального образования «Город Волгодонск»</w:t>
            </w:r>
          </w:p>
        </w:tc>
      </w:tr>
      <w:tr>
        <w:tc>
          <w:tcPr>
            <w:tcW w:type="dxa" w:w="905"/>
            <w:tcBorders>
              <w:top w:color="000000" w:sz="4" w:val="single"/>
              <w:left w:color="000000" w:sz="4" w:val="single"/>
              <w:bottom w:color="000000" w:sz="4" w:val="single"/>
              <w:right w:color="000000" w:sz="4" w:val="single"/>
            </w:tcBorders>
            <w:shd w:fill="FFFFFF" w:val="clear"/>
          </w:tcPr>
          <w:p w14:paraId="BC040000">
            <w:pPr>
              <w:spacing w:line="240" w:lineRule="auto"/>
              <w:ind w:firstLine="0" w:left="-57"/>
              <w:jc w:val="center"/>
              <w:rPr>
                <w:rFonts w:ascii="Times New Roman" w:hAnsi="Times New Roman"/>
                <w:color w:val="000000"/>
                <w:sz w:val="28"/>
              </w:rPr>
            </w:pPr>
            <w:r>
              <w:rPr>
                <w:rFonts w:ascii="Times New Roman" w:hAnsi="Times New Roman"/>
                <w:color w:val="000000"/>
                <w:sz w:val="28"/>
              </w:rPr>
              <w:t>1.10.2</w:t>
            </w:r>
          </w:p>
        </w:tc>
        <w:tc>
          <w:tcPr>
            <w:tcW w:type="dxa" w:w="4502"/>
            <w:gridSpan w:val="2"/>
            <w:tcBorders>
              <w:top w:color="000000" w:sz="4" w:val="single"/>
              <w:left w:color="000000" w:sz="4" w:val="single"/>
              <w:bottom w:color="000000" w:sz="4" w:val="single"/>
              <w:right w:color="000000" w:sz="4" w:val="single"/>
            </w:tcBorders>
          </w:tcPr>
          <w:p w14:paraId="BD040000">
            <w:pPr>
              <w:rPr>
                <w:rFonts w:ascii="Times New Roman" w:hAnsi="Times New Roman"/>
                <w:color w:val="000000"/>
                <w:sz w:val="28"/>
              </w:rPr>
            </w:pPr>
            <w:r>
              <w:rPr>
                <w:rFonts w:ascii="Times New Roman" w:hAnsi="Times New Roman"/>
                <w:color w:val="000000"/>
                <w:sz w:val="28"/>
              </w:rPr>
              <w:t>Ведение Реестра муниципальных маршрутов на территории города Волгодонска</w:t>
            </w:r>
          </w:p>
        </w:tc>
        <w:tc>
          <w:tcPr>
            <w:tcW w:type="dxa" w:w="3458"/>
            <w:gridSpan w:val="2"/>
            <w:tcBorders>
              <w:top w:color="000000" w:sz="4" w:val="single"/>
              <w:left w:color="000000" w:sz="4" w:val="single"/>
              <w:bottom w:color="000000" w:sz="4" w:val="single"/>
              <w:right w:color="000000" w:sz="4" w:val="single"/>
            </w:tcBorders>
          </w:tcPr>
          <w:p w14:paraId="BE040000">
            <w:pPr>
              <w:ind w:right="-108"/>
              <w:rPr>
                <w:rFonts w:ascii="Times New Roman" w:hAnsi="Times New Roman"/>
                <w:color w:val="000000"/>
                <w:sz w:val="28"/>
              </w:rPr>
            </w:pPr>
            <w:r>
              <w:rPr>
                <w:rFonts w:ascii="Times New Roman" w:hAnsi="Times New Roman"/>
                <w:color w:val="000000"/>
                <w:sz w:val="28"/>
              </w:rPr>
              <w:t>доступность информации о маршрутной сети и перевозчиках, обслуживающих муниципальные маршруты</w:t>
            </w:r>
          </w:p>
        </w:tc>
        <w:tc>
          <w:tcPr>
            <w:tcW w:type="dxa" w:w="2600"/>
            <w:gridSpan w:val="4"/>
            <w:tcBorders>
              <w:top w:color="000000" w:sz="4" w:val="single"/>
              <w:left w:color="000000" w:sz="4" w:val="single"/>
              <w:bottom w:color="000000" w:sz="4" w:val="single"/>
              <w:right w:color="000000" w:sz="4" w:val="single"/>
            </w:tcBorders>
            <w:shd w:fill="FFFFFF" w:val="clear"/>
          </w:tcPr>
          <w:p w14:paraId="BF040000">
            <w:pPr>
              <w:rPr>
                <w:rFonts w:ascii="Times New Roman" w:hAnsi="Times New Roman"/>
                <w:color w:val="000000"/>
                <w:sz w:val="28"/>
              </w:rPr>
            </w:pPr>
            <w:r>
              <w:rPr>
                <w:rFonts w:ascii="Times New Roman" w:hAnsi="Times New Roman"/>
                <w:color w:val="000000"/>
                <w:sz w:val="28"/>
              </w:rPr>
              <w:t>МКУ «Департамент строительства и городского хозяйства»</w:t>
            </w:r>
          </w:p>
        </w:tc>
        <w:tc>
          <w:tcPr>
            <w:tcW w:type="dxa" w:w="1399"/>
            <w:gridSpan w:val="5"/>
            <w:tcBorders>
              <w:top w:color="000000" w:sz="4" w:val="single"/>
              <w:left w:color="000000" w:sz="4" w:val="single"/>
              <w:bottom w:color="000000" w:sz="4" w:val="single"/>
              <w:right w:color="000000" w:sz="4" w:val="single"/>
            </w:tcBorders>
            <w:shd w:fill="FFFFFF" w:val="clear"/>
          </w:tcPr>
          <w:p w14:paraId="C0040000">
            <w:pPr>
              <w:ind w:firstLine="33" w:left="0"/>
              <w:contextualSpacing w:val="1"/>
              <w:jc w:val="both"/>
              <w:rPr>
                <w:rFonts w:ascii="Times New Roman" w:hAnsi="Times New Roman"/>
                <w:color w:val="000000"/>
                <w:sz w:val="28"/>
              </w:rPr>
            </w:pPr>
            <w:r>
              <w:rPr>
                <w:rFonts w:ascii="Times New Roman" w:hAnsi="Times New Roman"/>
                <w:color w:val="000000"/>
                <w:sz w:val="28"/>
              </w:rPr>
              <w:t>весь период</w:t>
            </w:r>
          </w:p>
        </w:tc>
        <w:tc>
          <w:tcPr>
            <w:tcW w:type="dxa" w:w="1819"/>
            <w:gridSpan w:val="5"/>
            <w:tcBorders>
              <w:top w:color="000000" w:sz="4" w:val="single"/>
              <w:left w:color="000000" w:sz="4" w:val="single"/>
              <w:bottom w:color="000000" w:sz="4" w:val="single"/>
              <w:right w:color="000000" w:sz="4" w:val="single"/>
            </w:tcBorders>
            <w:shd w:fill="FFFFFF" w:val="clear"/>
          </w:tcPr>
          <w:p w14:paraId="C1040000">
            <w:pPr>
              <w:ind w:firstLine="33" w:left="0"/>
              <w:contextualSpacing w:val="1"/>
              <w:jc w:val="both"/>
              <w:rPr>
                <w:rFonts w:ascii="Times New Roman" w:hAnsi="Times New Roman"/>
                <w:color w:val="FF0000"/>
                <w:sz w:val="28"/>
              </w:rPr>
            </w:pPr>
            <w:r>
              <w:rPr>
                <w:rFonts w:ascii="Times New Roman" w:hAnsi="Times New Roman"/>
                <w:color w:val="000000"/>
                <w:sz w:val="28"/>
              </w:rPr>
              <w:t>Обновленная редакция  реестра муниципальных</w:t>
            </w:r>
            <w:r>
              <w:rPr>
                <w:rFonts w:ascii="Times New Roman" w:hAnsi="Times New Roman"/>
                <w:color w:val="000000"/>
                <w:spacing w:val="107"/>
                <w:sz w:val="28"/>
              </w:rPr>
              <w:t xml:space="preserve"> </w:t>
            </w:r>
            <w:r>
              <w:rPr>
                <w:rFonts w:ascii="Times New Roman" w:hAnsi="Times New Roman"/>
                <w:color w:val="000000"/>
                <w:sz w:val="28"/>
              </w:rPr>
              <w:t>маршрутов регулярных перевозок</w:t>
            </w:r>
            <w:r>
              <w:rPr>
                <w:rFonts w:ascii="Times New Roman" w:hAnsi="Times New Roman"/>
                <w:color w:val="000000"/>
                <w:sz w:val="28"/>
              </w:rPr>
              <w:tab/>
            </w:r>
            <w:r>
              <w:rPr>
                <w:rFonts w:ascii="Times New Roman" w:hAnsi="Times New Roman"/>
                <w:color w:val="000000"/>
                <w:sz w:val="28"/>
              </w:rPr>
              <w:t>на территории муниципального</w:t>
            </w:r>
            <w:r>
              <w:rPr>
                <w:rFonts w:ascii="Times New Roman" w:hAnsi="Times New Roman"/>
                <w:color w:val="000000"/>
                <w:spacing w:val="169"/>
                <w:sz w:val="28"/>
              </w:rPr>
              <w:t xml:space="preserve"> </w:t>
            </w:r>
            <w:r>
              <w:rPr>
                <w:rFonts w:ascii="Times New Roman" w:hAnsi="Times New Roman"/>
                <w:color w:val="000000"/>
                <w:sz w:val="28"/>
              </w:rPr>
              <w:t>образования «Город Волгодонск» опубликована в информационно-телекоммуникационной сети «Интернет» на  официальном сайте Администрации.</w:t>
            </w:r>
          </w:p>
        </w:tc>
      </w:tr>
      <w:tr>
        <w:tc>
          <w:tcPr>
            <w:tcW w:type="dxa" w:w="905"/>
            <w:tcBorders>
              <w:top w:color="000000" w:sz="4" w:val="single"/>
              <w:left w:color="000000" w:sz="4" w:val="single"/>
              <w:bottom w:color="000000" w:sz="4" w:val="single"/>
              <w:right w:color="000000" w:sz="4" w:val="single"/>
            </w:tcBorders>
            <w:shd w:fill="FFFFFF" w:val="clear"/>
          </w:tcPr>
          <w:p w14:paraId="C2040000">
            <w:pPr>
              <w:spacing w:line="240" w:lineRule="auto"/>
              <w:ind w:firstLine="0" w:left="-57"/>
              <w:jc w:val="center"/>
              <w:rPr>
                <w:rFonts w:ascii="Times New Roman" w:hAnsi="Times New Roman"/>
                <w:color w:val="000000"/>
                <w:sz w:val="28"/>
              </w:rPr>
            </w:pPr>
            <w:r>
              <w:rPr>
                <w:rFonts w:ascii="Times New Roman" w:hAnsi="Times New Roman"/>
                <w:color w:val="000000"/>
                <w:sz w:val="28"/>
              </w:rPr>
              <w:t>1.10.3</w:t>
            </w:r>
          </w:p>
        </w:tc>
        <w:tc>
          <w:tcPr>
            <w:tcW w:type="dxa" w:w="4502"/>
            <w:gridSpan w:val="2"/>
            <w:tcBorders>
              <w:top w:color="000000" w:sz="4" w:val="single"/>
              <w:left w:color="000000" w:sz="4" w:val="single"/>
              <w:bottom w:color="000000" w:sz="4" w:val="single"/>
              <w:right w:color="000000" w:sz="4" w:val="single"/>
            </w:tcBorders>
          </w:tcPr>
          <w:p w14:paraId="C3040000">
            <w:pPr>
              <w:rPr>
                <w:rFonts w:ascii="Times New Roman" w:hAnsi="Times New Roman"/>
                <w:color w:val="000000"/>
                <w:sz w:val="28"/>
              </w:rPr>
            </w:pPr>
            <w:r>
              <w:rPr>
                <w:rFonts w:ascii="Times New Roman" w:hAnsi="Times New Roman"/>
                <w:color w:val="000000"/>
                <w:sz w:val="28"/>
              </w:rPr>
              <w:t>Формирование сети регулярных маршрутов с учетом предложений, изложенных в обращениях негосударственных перевозчиков</w:t>
            </w:r>
          </w:p>
        </w:tc>
        <w:tc>
          <w:tcPr>
            <w:tcW w:type="dxa" w:w="3458"/>
            <w:gridSpan w:val="2"/>
            <w:tcBorders>
              <w:top w:color="000000" w:sz="4" w:val="single"/>
              <w:left w:color="000000" w:sz="4" w:val="single"/>
              <w:bottom w:color="000000" w:sz="4" w:val="single"/>
              <w:right w:color="000000" w:sz="4" w:val="single"/>
            </w:tcBorders>
          </w:tcPr>
          <w:p w14:paraId="C4040000">
            <w:pPr>
              <w:ind w:right="-108"/>
              <w:rPr>
                <w:rFonts w:ascii="Times New Roman" w:hAnsi="Times New Roman"/>
                <w:color w:val="000000"/>
                <w:sz w:val="28"/>
              </w:rPr>
            </w:pPr>
            <w:r>
              <w:rPr>
                <w:rFonts w:ascii="Times New Roman" w:hAnsi="Times New Roman"/>
                <w:color w:val="000000"/>
                <w:sz w:val="28"/>
              </w:rPr>
              <w:t>оптимизация маршрутной сети; повышение качества предоставляемых услуг</w:t>
            </w:r>
          </w:p>
        </w:tc>
        <w:tc>
          <w:tcPr>
            <w:tcW w:type="dxa" w:w="2600"/>
            <w:gridSpan w:val="4"/>
            <w:tcBorders>
              <w:top w:color="000000" w:sz="4" w:val="single"/>
              <w:left w:color="000000" w:sz="4" w:val="single"/>
              <w:bottom w:color="000000" w:sz="4" w:val="single"/>
              <w:right w:color="000000" w:sz="4" w:val="single"/>
            </w:tcBorders>
            <w:shd w:fill="FFFFFF" w:val="clear"/>
          </w:tcPr>
          <w:p w14:paraId="C5040000">
            <w:pPr>
              <w:rPr>
                <w:rFonts w:ascii="Times New Roman" w:hAnsi="Times New Roman"/>
                <w:color w:val="000000"/>
                <w:sz w:val="28"/>
              </w:rPr>
            </w:pPr>
            <w:r>
              <w:rPr>
                <w:rFonts w:ascii="Times New Roman" w:hAnsi="Times New Roman"/>
                <w:color w:val="000000"/>
                <w:sz w:val="28"/>
              </w:rPr>
              <w:t>МКУ «Департамент строительства и городского хозяйства»</w:t>
            </w:r>
          </w:p>
        </w:tc>
        <w:tc>
          <w:tcPr>
            <w:tcW w:type="dxa" w:w="1399"/>
            <w:gridSpan w:val="5"/>
            <w:tcBorders>
              <w:top w:color="000000" w:sz="4" w:val="single"/>
              <w:left w:color="000000" w:sz="4" w:val="single"/>
              <w:bottom w:color="000000" w:sz="4" w:val="single"/>
              <w:right w:color="000000" w:sz="4" w:val="single"/>
            </w:tcBorders>
            <w:shd w:fill="FFFFFF" w:val="clear"/>
          </w:tcPr>
          <w:p w14:paraId="C6040000">
            <w:pPr>
              <w:ind w:firstLine="33" w:left="0"/>
              <w:contextualSpacing w:val="1"/>
              <w:jc w:val="both"/>
              <w:rPr>
                <w:rFonts w:ascii="Times New Roman" w:hAnsi="Times New Roman"/>
                <w:color w:val="000000"/>
                <w:sz w:val="28"/>
              </w:rPr>
            </w:pPr>
            <w:r>
              <w:rPr>
                <w:rFonts w:ascii="Times New Roman" w:hAnsi="Times New Roman"/>
                <w:color w:val="000000"/>
                <w:sz w:val="28"/>
              </w:rPr>
              <w:t>весь период</w:t>
            </w:r>
          </w:p>
        </w:tc>
        <w:tc>
          <w:tcPr>
            <w:tcW w:type="dxa" w:w="1819"/>
            <w:gridSpan w:val="5"/>
            <w:tcBorders>
              <w:top w:color="000000" w:sz="4" w:val="single"/>
              <w:left w:color="000000" w:sz="4" w:val="single"/>
              <w:bottom w:color="000000" w:sz="4" w:val="single"/>
              <w:right w:color="000000" w:sz="4" w:val="single"/>
            </w:tcBorders>
            <w:shd w:fill="FFFFFF" w:val="clear"/>
          </w:tcPr>
          <w:p w14:paraId="C7040000">
            <w:pPr>
              <w:ind w:firstLine="33" w:left="0"/>
              <w:contextualSpacing w:val="1"/>
              <w:rPr>
                <w:rFonts w:ascii="Times New Roman" w:hAnsi="Times New Roman"/>
                <w:color w:val="FF0000"/>
                <w:sz w:val="28"/>
              </w:rPr>
            </w:pPr>
            <w:r>
              <w:rPr>
                <w:rFonts w:ascii="Times New Roman" w:hAnsi="Times New Roman"/>
                <w:sz w:val="28"/>
              </w:rPr>
              <w:t>В рамках реализации проекта «Обеспечение доступности городского пассажирского транспорта в г. Волгодонске» рабочей группой проекта сформирована схема маршрутов по принципу доступности общественного транспорта от трех магистралей в старой части города  (ул. Степная, ул.       М. Горького / ул. Пионерская, ул. Морская) к каждой из трех основных в новой части города (ул. Гагарина, ул. Энтузиастов,                          ул. М. Кошевого), а также с учетом потребности предприятий, расположенных в промзоне ул. Степной и Атоммаша, жителей Старосоленого, Красного Яра, ул. Рождественской, ул. Волгоградской).</w:t>
            </w:r>
          </w:p>
        </w:tc>
      </w:tr>
      <w:tr>
        <w:tc>
          <w:tcPr>
            <w:tcW w:type="dxa" w:w="905"/>
            <w:tcBorders>
              <w:top w:color="000000" w:sz="4" w:val="single"/>
              <w:left w:color="000000" w:sz="4" w:val="single"/>
              <w:bottom w:color="000000" w:sz="4" w:val="single"/>
              <w:right w:color="000000" w:sz="4" w:val="single"/>
            </w:tcBorders>
            <w:shd w:fill="FFFFFF" w:val="clear"/>
          </w:tcPr>
          <w:p w14:paraId="C8040000">
            <w:pPr>
              <w:spacing w:line="240" w:lineRule="auto"/>
              <w:ind w:firstLine="0" w:left="-57"/>
              <w:jc w:val="center"/>
              <w:rPr>
                <w:rFonts w:ascii="Times New Roman" w:hAnsi="Times New Roman"/>
                <w:color w:val="000000"/>
                <w:sz w:val="28"/>
              </w:rPr>
            </w:pPr>
            <w:r>
              <w:rPr>
                <w:rFonts w:ascii="Times New Roman" w:hAnsi="Times New Roman"/>
                <w:color w:val="000000"/>
                <w:sz w:val="28"/>
              </w:rPr>
              <w:t>1.10.4</w:t>
            </w:r>
          </w:p>
        </w:tc>
        <w:tc>
          <w:tcPr>
            <w:tcW w:type="dxa" w:w="4502"/>
            <w:gridSpan w:val="2"/>
            <w:tcBorders>
              <w:top w:color="000000" w:sz="4" w:val="single"/>
              <w:left w:color="000000" w:sz="4" w:val="single"/>
              <w:bottom w:color="000000" w:sz="4" w:val="single"/>
              <w:right w:color="000000" w:sz="4" w:val="single"/>
            </w:tcBorders>
          </w:tcPr>
          <w:p w14:paraId="C9040000">
            <w:pPr>
              <w:rPr>
                <w:rFonts w:ascii="Times New Roman" w:hAnsi="Times New Roman"/>
                <w:color w:val="000000"/>
                <w:sz w:val="28"/>
              </w:rPr>
            </w:pPr>
            <w:r>
              <w:rPr>
                <w:rFonts w:ascii="Times New Roman" w:hAnsi="Times New Roman"/>
                <w:color w:val="000000"/>
                <w:sz w:val="28"/>
              </w:rPr>
              <w:t>Мониторинг пассажиропотока и потребностей муниципального образования для дальнейшей корректировки существующей маршрутной сети и создания новых маршрутов</w:t>
            </w:r>
          </w:p>
        </w:tc>
        <w:tc>
          <w:tcPr>
            <w:tcW w:type="dxa" w:w="3458"/>
            <w:gridSpan w:val="2"/>
            <w:tcBorders>
              <w:top w:color="000000" w:sz="4" w:val="single"/>
              <w:left w:color="000000" w:sz="4" w:val="single"/>
              <w:bottom w:color="000000" w:sz="4" w:val="single"/>
              <w:right w:color="000000" w:sz="4" w:val="single"/>
            </w:tcBorders>
          </w:tcPr>
          <w:p w14:paraId="CA040000">
            <w:pPr>
              <w:ind w:right="-108"/>
              <w:rPr>
                <w:rFonts w:ascii="Times New Roman" w:hAnsi="Times New Roman"/>
                <w:color w:val="000000"/>
                <w:sz w:val="28"/>
              </w:rPr>
            </w:pPr>
            <w:r>
              <w:rPr>
                <w:rFonts w:ascii="Times New Roman" w:hAnsi="Times New Roman"/>
                <w:color w:val="000000"/>
                <w:sz w:val="28"/>
              </w:rPr>
              <w:t>создание новых маршрутов, удовлетворение в полном объеме потребностей населения в перевозках</w:t>
            </w:r>
          </w:p>
        </w:tc>
        <w:tc>
          <w:tcPr>
            <w:tcW w:type="dxa" w:w="2600"/>
            <w:gridSpan w:val="4"/>
            <w:tcBorders>
              <w:top w:color="000000" w:sz="4" w:val="single"/>
              <w:left w:color="000000" w:sz="4" w:val="single"/>
              <w:bottom w:color="000000" w:sz="4" w:val="single"/>
              <w:right w:color="000000" w:sz="4" w:val="single"/>
            </w:tcBorders>
            <w:shd w:fill="FFFFFF" w:val="clear"/>
          </w:tcPr>
          <w:p w14:paraId="CB040000">
            <w:pPr>
              <w:rPr>
                <w:rFonts w:ascii="Times New Roman" w:hAnsi="Times New Roman"/>
                <w:color w:val="000000"/>
                <w:sz w:val="28"/>
              </w:rPr>
            </w:pPr>
            <w:r>
              <w:rPr>
                <w:rFonts w:ascii="Times New Roman" w:hAnsi="Times New Roman"/>
                <w:color w:val="000000"/>
                <w:sz w:val="28"/>
              </w:rPr>
              <w:t>МКУ «Департамент строительства и городского хозяйства»</w:t>
            </w:r>
          </w:p>
        </w:tc>
        <w:tc>
          <w:tcPr>
            <w:tcW w:type="dxa" w:w="1399"/>
            <w:gridSpan w:val="5"/>
            <w:tcBorders>
              <w:top w:color="000000" w:sz="4" w:val="single"/>
              <w:left w:color="000000" w:sz="4" w:val="single"/>
              <w:bottom w:color="000000" w:sz="4" w:val="single"/>
              <w:right w:color="000000" w:sz="4" w:val="single"/>
            </w:tcBorders>
            <w:shd w:fill="FFFFFF" w:val="clear"/>
          </w:tcPr>
          <w:p w14:paraId="CC040000">
            <w:pPr>
              <w:ind w:firstLine="33" w:left="0"/>
              <w:contextualSpacing w:val="1"/>
              <w:jc w:val="both"/>
              <w:rPr>
                <w:rFonts w:ascii="Times New Roman" w:hAnsi="Times New Roman"/>
                <w:color w:val="000000"/>
                <w:sz w:val="28"/>
              </w:rPr>
            </w:pPr>
            <w:r>
              <w:rPr>
                <w:rFonts w:ascii="Times New Roman" w:hAnsi="Times New Roman"/>
                <w:color w:val="000000"/>
                <w:sz w:val="28"/>
              </w:rPr>
              <w:t>весь период</w:t>
            </w:r>
          </w:p>
        </w:tc>
        <w:tc>
          <w:tcPr>
            <w:tcW w:type="dxa" w:w="1819"/>
            <w:gridSpan w:val="5"/>
            <w:tcBorders>
              <w:top w:color="000000" w:sz="4" w:val="single"/>
              <w:left w:color="000000" w:sz="4" w:val="single"/>
              <w:bottom w:color="000000" w:sz="4" w:val="single"/>
              <w:right w:color="000000" w:sz="4" w:val="single"/>
            </w:tcBorders>
            <w:shd w:fill="FFFFFF" w:val="clear"/>
          </w:tcPr>
          <w:p w14:paraId="CD040000">
            <w:pPr>
              <w:ind w:firstLine="33" w:left="0"/>
              <w:contextualSpacing w:val="1"/>
              <w:jc w:val="both"/>
              <w:rPr>
                <w:rFonts w:ascii="Times New Roman" w:hAnsi="Times New Roman"/>
                <w:color w:val="000000"/>
                <w:sz w:val="28"/>
              </w:rPr>
            </w:pPr>
            <w:r>
              <w:rPr>
                <w:rFonts w:ascii="Times New Roman" w:hAnsi="Times New Roman"/>
                <w:color w:val="000000"/>
                <w:sz w:val="28"/>
              </w:rPr>
              <w:t>По результатам мониторинга, обращений граждан, предложений перевозчиков  и решения городской транспортной комиссии по регулированию пассажирских перевозок на территории муниципального образования «Город Волгодонск» в настоящее время отменены 2 маршрута городского пассажирского транспорта № 11, № 13, изменено расписание на 10-ти маршрутах № 6, № 7,  № 8, № 14, № 15к, № 16, № 16а,  № 52, № 90, № 91, изменена схема движения на 7-ми маршрутах  № 6, № 7,  № 8, № 16, № 16а, № 90, № 91, добавлено 2 остановочных пункта на скорых маршрутах № 10, 10 а.</w:t>
            </w:r>
          </w:p>
        </w:tc>
      </w:tr>
      <w:tr>
        <w:tc>
          <w:tcPr>
            <w:tcW w:type="dxa" w:w="14683"/>
            <w:gridSpan w:val="19"/>
            <w:tcBorders>
              <w:top w:color="000000" w:sz="4" w:val="single"/>
              <w:left w:color="000000" w:sz="4" w:val="single"/>
              <w:bottom w:color="000000" w:sz="4" w:val="single"/>
              <w:right w:color="000000" w:sz="4" w:val="single"/>
            </w:tcBorders>
            <w:shd w:fill="FFFFFF" w:val="clear"/>
            <w:vAlign w:val="center"/>
          </w:tcPr>
          <w:p w14:paraId="CE040000">
            <w:pPr>
              <w:keepNext w:val="1"/>
              <w:keepLines w:val="1"/>
              <w:spacing w:line="240" w:lineRule="auto"/>
              <w:ind/>
              <w:jc w:val="center"/>
              <w:rPr>
                <w:rFonts w:ascii="Times New Roman" w:hAnsi="Times New Roman"/>
                <w:b w:val="1"/>
                <w:color w:val="000000"/>
                <w:sz w:val="28"/>
              </w:rPr>
            </w:pPr>
            <w:r>
              <w:rPr>
                <w:rFonts w:ascii="Times New Roman" w:hAnsi="Times New Roman"/>
                <w:b w:val="1"/>
                <w:color w:val="000000"/>
                <w:sz w:val="28"/>
              </w:rPr>
              <w:t>1.11 Рынок оказания услуг по ремонту автотранспортных средств</w:t>
            </w:r>
          </w:p>
        </w:tc>
      </w:tr>
      <w:tr>
        <w:tc>
          <w:tcPr>
            <w:tcW w:type="dxa" w:w="905"/>
            <w:tcBorders>
              <w:top w:color="000000" w:sz="4" w:val="single"/>
              <w:left w:color="000000" w:sz="4" w:val="single"/>
              <w:bottom w:color="000000" w:sz="4" w:val="single"/>
              <w:right w:color="000000" w:sz="4" w:val="single"/>
            </w:tcBorders>
            <w:shd w:fill="FFFFFF" w:val="clear"/>
          </w:tcPr>
          <w:p w14:paraId="CF040000">
            <w:pPr>
              <w:spacing w:line="240" w:lineRule="auto"/>
              <w:ind w:firstLine="0" w:left="-57"/>
              <w:jc w:val="center"/>
              <w:rPr>
                <w:rFonts w:ascii="Times New Roman" w:hAnsi="Times New Roman"/>
                <w:color w:val="000000"/>
                <w:sz w:val="28"/>
              </w:rPr>
            </w:pPr>
            <w:r>
              <w:rPr>
                <w:rFonts w:ascii="Times New Roman" w:hAnsi="Times New Roman"/>
                <w:color w:val="000000"/>
                <w:sz w:val="28"/>
              </w:rPr>
              <w:t>1.11.1</w:t>
            </w:r>
          </w:p>
        </w:tc>
        <w:tc>
          <w:tcPr>
            <w:tcW w:type="dxa" w:w="4502"/>
            <w:gridSpan w:val="2"/>
            <w:tcBorders>
              <w:top w:color="000000" w:sz="4" w:val="single"/>
              <w:left w:color="000000" w:sz="4" w:val="single"/>
              <w:bottom w:color="000000" w:sz="4" w:val="single"/>
              <w:right w:color="000000" w:sz="4" w:val="single"/>
            </w:tcBorders>
          </w:tcPr>
          <w:p w14:paraId="D0040000">
            <w:pPr>
              <w:ind/>
              <w:jc w:val="both"/>
              <w:rPr>
                <w:rFonts w:ascii="Times New Roman" w:hAnsi="Times New Roman"/>
                <w:color w:val="000000"/>
                <w:sz w:val="28"/>
              </w:rPr>
            </w:pPr>
            <w:r>
              <w:rPr>
                <w:rFonts w:ascii="Times New Roman" w:hAnsi="Times New Roman"/>
                <w:color w:val="000000"/>
                <w:sz w:val="28"/>
              </w:rPr>
              <w:t>Мониторинг сети предприятий, оказывающих услуги по ремонту и техническому обслуживанию автотранспортных средств, действующих на территории городских округов и муниципальных районов Ростовской области</w:t>
            </w:r>
          </w:p>
        </w:tc>
        <w:tc>
          <w:tcPr>
            <w:tcW w:type="dxa" w:w="3458"/>
            <w:gridSpan w:val="2"/>
            <w:tcBorders>
              <w:top w:color="000000" w:sz="4" w:val="single"/>
              <w:left w:color="000000" w:sz="4" w:val="single"/>
              <w:bottom w:color="000000" w:sz="4" w:val="single"/>
              <w:right w:color="000000" w:sz="4" w:val="single"/>
            </w:tcBorders>
          </w:tcPr>
          <w:p w14:paraId="D1040000">
            <w:pPr>
              <w:rPr>
                <w:rFonts w:ascii="Times New Roman" w:hAnsi="Times New Roman"/>
                <w:color w:val="000000"/>
                <w:sz w:val="28"/>
              </w:rPr>
            </w:pPr>
            <w:r>
              <w:rPr>
                <w:rFonts w:ascii="Times New Roman" w:hAnsi="Times New Roman"/>
                <w:color w:val="000000"/>
                <w:sz w:val="28"/>
              </w:rPr>
              <w:t>проведение мониторинга сети предприятий, оказывающих услуги по ремонту и техническому обслуживанию автотранспортных средств, в разрезе городских округов и муниципальных районов Ростовской области</w:t>
            </w:r>
          </w:p>
        </w:tc>
        <w:tc>
          <w:tcPr>
            <w:tcW w:type="dxa" w:w="2600"/>
            <w:gridSpan w:val="4"/>
            <w:tcBorders>
              <w:top w:color="000000" w:sz="4" w:val="single"/>
              <w:left w:color="000000" w:sz="4" w:val="single"/>
              <w:bottom w:color="000000" w:sz="4" w:val="single"/>
              <w:right w:color="000000" w:sz="4" w:val="single"/>
            </w:tcBorders>
            <w:shd w:fill="FFFFFF" w:val="clear"/>
          </w:tcPr>
          <w:p w14:paraId="D2040000">
            <w:pPr>
              <w:rPr>
                <w:rFonts w:ascii="Times New Roman" w:hAnsi="Times New Roman"/>
                <w:color w:val="000000"/>
                <w:sz w:val="28"/>
              </w:rPr>
            </w:pPr>
            <w:r>
              <w:rPr>
                <w:rFonts w:ascii="Times New Roman" w:hAnsi="Times New Roman"/>
                <w:color w:val="000000"/>
                <w:sz w:val="28"/>
              </w:rPr>
              <w:t xml:space="preserve">Отдел потребительского рынка товаров, услуг и защиты прав потребителей Администрации города Волгодонска </w:t>
            </w:r>
          </w:p>
        </w:tc>
        <w:tc>
          <w:tcPr>
            <w:tcW w:type="dxa" w:w="1399"/>
            <w:gridSpan w:val="5"/>
            <w:tcBorders>
              <w:top w:color="000000" w:sz="4" w:val="single"/>
              <w:left w:color="000000" w:sz="4" w:val="single"/>
              <w:bottom w:color="000000" w:sz="4" w:val="single"/>
              <w:right w:color="000000" w:sz="4" w:val="single"/>
            </w:tcBorders>
            <w:shd w:fill="FFFFFF" w:val="clear"/>
          </w:tcPr>
          <w:p w14:paraId="D3040000">
            <w:pPr>
              <w:rPr>
                <w:rFonts w:ascii="Times New Roman" w:hAnsi="Times New Roman"/>
                <w:color w:val="FF0000"/>
                <w:sz w:val="28"/>
              </w:rPr>
            </w:pPr>
            <w:r>
              <w:rPr>
                <w:rFonts w:ascii="Times New Roman" w:hAnsi="Times New Roman"/>
                <w:color w:val="000000"/>
                <w:sz w:val="28"/>
              </w:rPr>
              <w:t>весь период</w:t>
            </w:r>
          </w:p>
        </w:tc>
        <w:tc>
          <w:tcPr>
            <w:tcW w:type="dxa" w:w="1819"/>
            <w:gridSpan w:val="5"/>
            <w:tcBorders>
              <w:top w:color="000000" w:sz="4" w:val="single"/>
              <w:left w:color="000000" w:sz="4" w:val="single"/>
              <w:bottom w:color="000000" w:sz="4" w:val="single"/>
              <w:right w:color="000000" w:sz="4" w:val="single"/>
            </w:tcBorders>
            <w:shd w:fill="FFFFFF" w:val="clear"/>
          </w:tcPr>
          <w:p w14:paraId="D4040000">
            <w:pPr>
              <w:rPr>
                <w:rFonts w:ascii="Times New Roman" w:hAnsi="Times New Roman"/>
                <w:color w:val="FF0000"/>
                <w:sz w:val="28"/>
              </w:rPr>
            </w:pPr>
            <w:r>
              <w:rPr>
                <w:rFonts w:ascii="Times New Roman" w:hAnsi="Times New Roman"/>
                <w:sz w:val="28"/>
              </w:rPr>
              <w:t xml:space="preserve">По состоянию на 31.12.2021 год в городе Волгодонске осуществляют деятельность 153 объекта по ремонту и техническому обслуживанию автотранспортных средств (в т.ч. услуги по хранению автотранспортных средств на платных стоянках). Рынок оказания услуг по ремонту и техническому обслуживанию автотранспортных средств динамично развивается. Растет уровень технической оснащенности предприятий. Городские СТО используют современное оборудование, в т.ч. с применением информационно-цифровых технологий, позволяющих оказывать услуги по ремонту автотранспортных средств на более качественном уровне.  </w:t>
            </w:r>
          </w:p>
        </w:tc>
      </w:tr>
      <w:tr>
        <w:trPr>
          <w:trHeight w:hRule="atLeast" w:val="495"/>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D5040000">
            <w:pPr>
              <w:ind/>
              <w:jc w:val="center"/>
              <w:rPr>
                <w:rFonts w:ascii="Times New Roman" w:hAnsi="Times New Roman"/>
                <w:b w:val="1"/>
                <w:color w:val="000000"/>
                <w:sz w:val="28"/>
              </w:rPr>
            </w:pPr>
            <w:r>
              <w:rPr>
                <w:rFonts w:ascii="Times New Roman" w:hAnsi="Times New Roman"/>
                <w:b w:val="1"/>
                <w:color w:val="000000"/>
                <w:sz w:val="28"/>
              </w:rPr>
              <w:t>2. Реализация системных мероприятий</w:t>
            </w:r>
          </w:p>
        </w:tc>
      </w:tr>
      <w:tr>
        <w:trPr>
          <w:trHeight w:hRule="atLeast" w:val="414"/>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D6040000">
            <w:pPr>
              <w:ind/>
              <w:jc w:val="center"/>
              <w:rPr>
                <w:rFonts w:ascii="Times New Roman" w:hAnsi="Times New Roman"/>
                <w:b w:val="1"/>
                <w:color w:val="000000"/>
                <w:sz w:val="28"/>
              </w:rPr>
            </w:pPr>
            <w:r>
              <w:rPr>
                <w:rFonts w:ascii="Times New Roman" w:hAnsi="Times New Roman"/>
                <w:b w:val="1"/>
                <w:color w:val="000000"/>
                <w:sz w:val="28"/>
              </w:rPr>
              <w:t>2.1 Развитие конкурентоспособности товаров, работ, услуг субъектов малого и среднего предпринимательства</w:t>
            </w:r>
          </w:p>
          <w:p w14:paraId="D7040000">
            <w:pPr>
              <w:ind w:firstLine="567" w:left="0"/>
              <w:jc w:val="both"/>
              <w:rPr>
                <w:rFonts w:ascii="Times New Roman" w:hAnsi="Times New Roman"/>
                <w:color w:val="000000"/>
                <w:sz w:val="28"/>
              </w:rPr>
            </w:pPr>
            <w:r>
              <w:rPr>
                <w:rFonts w:ascii="Times New Roman" w:hAnsi="Times New Roman"/>
                <w:color w:val="000000"/>
                <w:sz w:val="28"/>
              </w:rPr>
              <w:t>В целях популяризации бренда «Сделано на Дону», который является гарантом высокого качества донской продукции Администрацией города Волгодонска проводится следующая работа.</w:t>
            </w:r>
          </w:p>
          <w:p w14:paraId="D8040000">
            <w:pPr>
              <w:ind w:firstLine="567" w:left="0"/>
              <w:jc w:val="both"/>
              <w:rPr>
                <w:rFonts w:ascii="Times New Roman" w:hAnsi="Times New Roman"/>
                <w:color w:val="000000"/>
                <w:sz w:val="28"/>
              </w:rPr>
            </w:pPr>
            <w:r>
              <w:rPr>
                <w:rFonts w:ascii="Times New Roman" w:hAnsi="Times New Roman"/>
                <w:color w:val="000000"/>
                <w:sz w:val="28"/>
              </w:rPr>
              <w:t xml:space="preserve">В гипер- и супермаркетах, торговых центрах и комплексах, на городских ярмарках специалистами отдела потребительского рынка проводятся  акции «Сделано на Дону», в рамках которых покупателей информируют о функционировании системы добровольной сертификации «Сделано на Дону», распространяют информационные памятки. Проводимые Акции  позволяют сориентировать покупателей на товары донского производства, расширить знания покупателей о товарах, производимых в нашей области. Для проведения подобных акций изготавливаются информационные материалы памятки, листовки. </w:t>
            </w:r>
          </w:p>
          <w:p w14:paraId="D9040000">
            <w:pPr>
              <w:pStyle w:val="Style_10"/>
              <w:tabs>
                <w:tab w:leader="none" w:pos="1093" w:val="left"/>
                <w:tab w:leader="none" w:pos="1094" w:val="left"/>
              </w:tabs>
              <w:spacing w:line="342" w:lineRule="exact"/>
              <w:ind w:firstLine="567" w:left="0"/>
              <w:jc w:val="both"/>
              <w:rPr>
                <w:rFonts w:ascii="Times New Roman" w:hAnsi="Times New Roman"/>
                <w:color w:val="000000"/>
                <w:sz w:val="28"/>
              </w:rPr>
            </w:pPr>
            <w:r>
              <w:rPr>
                <w:rFonts w:ascii="Times New Roman" w:hAnsi="Times New Roman"/>
                <w:color w:val="000000"/>
                <w:sz w:val="28"/>
              </w:rPr>
              <w:t>В 2021 году проведено 20 мероприятий по популяризации системы добровольной сертификации «Сделано на Дону»:</w:t>
            </w:r>
          </w:p>
          <w:p w14:paraId="DA040000">
            <w:pPr>
              <w:pStyle w:val="Style_10"/>
              <w:widowControl w:val="0"/>
              <w:numPr>
                <w:ilvl w:val="0"/>
                <w:numId w:val="1"/>
              </w:numPr>
              <w:tabs>
                <w:tab w:leader="none" w:pos="1093" w:val="left"/>
                <w:tab w:leader="none" w:pos="1094" w:val="left"/>
              </w:tabs>
              <w:spacing w:after="0" w:line="342" w:lineRule="exact"/>
              <w:ind w:firstLine="567" w:left="0"/>
              <w:contextualSpacing w:val="0"/>
              <w:rPr>
                <w:rFonts w:ascii="Times New Roman" w:hAnsi="Times New Roman"/>
                <w:color w:val="000000"/>
                <w:sz w:val="28"/>
              </w:rPr>
            </w:pPr>
            <w:r>
              <w:rPr>
                <w:rFonts w:ascii="Times New Roman" w:hAnsi="Times New Roman"/>
                <w:color w:val="000000"/>
                <w:sz w:val="28"/>
              </w:rPr>
              <w:t>10 акций по популяризации бренда «Сделано на</w:t>
            </w:r>
            <w:r>
              <w:rPr>
                <w:rFonts w:ascii="Times New Roman" w:hAnsi="Times New Roman"/>
                <w:color w:val="000000"/>
                <w:spacing w:val="-8"/>
                <w:sz w:val="28"/>
              </w:rPr>
              <w:t xml:space="preserve"> </w:t>
            </w:r>
            <w:r>
              <w:rPr>
                <w:rFonts w:ascii="Times New Roman" w:hAnsi="Times New Roman"/>
                <w:color w:val="000000"/>
                <w:sz w:val="28"/>
              </w:rPr>
              <w:t>Дону»;</w:t>
            </w:r>
          </w:p>
          <w:p w14:paraId="DB040000">
            <w:pPr>
              <w:pStyle w:val="Style_10"/>
              <w:widowControl w:val="0"/>
              <w:numPr>
                <w:ilvl w:val="0"/>
                <w:numId w:val="2"/>
              </w:numPr>
              <w:tabs>
                <w:tab w:leader="none" w:pos="1093" w:val="left"/>
                <w:tab w:leader="none" w:pos="1094" w:val="left"/>
              </w:tabs>
              <w:spacing w:after="0" w:line="342" w:lineRule="exact"/>
              <w:ind w:firstLine="567" w:left="0"/>
              <w:contextualSpacing w:val="0"/>
              <w:rPr>
                <w:rFonts w:ascii="Times New Roman" w:hAnsi="Times New Roman"/>
                <w:color w:val="000000"/>
                <w:sz w:val="28"/>
              </w:rPr>
            </w:pPr>
            <w:r>
              <w:rPr>
                <w:rFonts w:ascii="Times New Roman" w:hAnsi="Times New Roman"/>
                <w:color w:val="000000"/>
                <w:sz w:val="28"/>
              </w:rPr>
              <w:t>9 акций «Узнай свои права» для</w:t>
            </w:r>
            <w:r>
              <w:rPr>
                <w:rFonts w:ascii="Times New Roman" w:hAnsi="Times New Roman"/>
                <w:color w:val="000000"/>
                <w:spacing w:val="-4"/>
                <w:sz w:val="28"/>
              </w:rPr>
              <w:t xml:space="preserve"> </w:t>
            </w:r>
            <w:r>
              <w:rPr>
                <w:rFonts w:ascii="Times New Roman" w:hAnsi="Times New Roman"/>
                <w:color w:val="000000"/>
                <w:sz w:val="28"/>
              </w:rPr>
              <w:t>потребителей;</w:t>
            </w:r>
          </w:p>
          <w:p w14:paraId="DC040000">
            <w:pPr>
              <w:pStyle w:val="Style_10"/>
              <w:widowControl w:val="0"/>
              <w:numPr>
                <w:ilvl w:val="0"/>
                <w:numId w:val="2"/>
              </w:numPr>
              <w:tabs>
                <w:tab w:leader="none" w:pos="1093" w:val="left"/>
                <w:tab w:leader="none" w:pos="1094" w:val="left"/>
              </w:tabs>
              <w:spacing w:after="0" w:line="342" w:lineRule="exact"/>
              <w:ind w:firstLine="567" w:left="0"/>
              <w:contextualSpacing w:val="0"/>
              <w:jc w:val="both"/>
              <w:rPr>
                <w:rFonts w:ascii="Times New Roman" w:hAnsi="Times New Roman"/>
                <w:color w:val="000000"/>
                <w:sz w:val="28"/>
              </w:rPr>
            </w:pPr>
            <w:r>
              <w:rPr>
                <w:rFonts w:ascii="Times New Roman" w:hAnsi="Times New Roman"/>
                <w:color w:val="000000"/>
                <w:sz w:val="28"/>
              </w:rPr>
              <w:t>конкурс на по тематике «Сделано на</w:t>
            </w:r>
            <w:r>
              <w:rPr>
                <w:rFonts w:ascii="Times New Roman" w:hAnsi="Times New Roman"/>
                <w:color w:val="000000"/>
                <w:spacing w:val="-2"/>
                <w:sz w:val="28"/>
              </w:rPr>
              <w:t xml:space="preserve"> </w:t>
            </w:r>
            <w:r>
              <w:rPr>
                <w:rFonts w:ascii="Times New Roman" w:hAnsi="Times New Roman"/>
                <w:color w:val="000000"/>
                <w:sz w:val="28"/>
              </w:rPr>
              <w:t>Дону» среди учащихся 1-11 классов общеобразовательных учреждений;</w:t>
            </w:r>
          </w:p>
          <w:p w14:paraId="DD040000">
            <w:pPr>
              <w:ind w:firstLine="567" w:left="0"/>
              <w:jc w:val="both"/>
              <w:rPr>
                <w:rFonts w:ascii="Times New Roman" w:hAnsi="Times New Roman"/>
                <w:color w:val="000000"/>
                <w:sz w:val="28"/>
              </w:rPr>
            </w:pPr>
            <w:r>
              <w:rPr>
                <w:rFonts w:ascii="Times New Roman" w:hAnsi="Times New Roman"/>
                <w:color w:val="000000"/>
                <w:sz w:val="28"/>
              </w:rPr>
              <w:t>В текущем году размещено 16 публикаций  по тематике «Сделано на Дону», в том числе: 4 - на официальном сайте Администрации города Волгодонска; 1 – в газете «Волгодонская правда»; 11 – в сторонних информационных источниках.</w:t>
            </w:r>
          </w:p>
          <w:p w14:paraId="DE040000">
            <w:pPr>
              <w:ind w:firstLine="567" w:left="0"/>
              <w:jc w:val="both"/>
              <w:rPr>
                <w:rFonts w:ascii="Times New Roman" w:hAnsi="Times New Roman"/>
                <w:color w:val="000000"/>
                <w:sz w:val="28"/>
              </w:rPr>
            </w:pPr>
            <w:r>
              <w:rPr>
                <w:rFonts w:ascii="Times New Roman" w:hAnsi="Times New Roman"/>
                <w:color w:val="000000"/>
                <w:sz w:val="28"/>
              </w:rPr>
              <w:t>В части организации работы по обеспечению визуализации продукции, произведенной на территории Ростовской области, отмеченной знаком «Сделано на Дону» предприятиями сетевой торговли и автономной розницы обеспечены формы визуализации в виде ценников со слоганом: «Сделано на Дону – гарантия качества!».</w:t>
            </w:r>
          </w:p>
          <w:p w14:paraId="DF040000">
            <w:pPr>
              <w:ind w:firstLine="567" w:left="0"/>
              <w:jc w:val="both"/>
              <w:rPr>
                <w:rFonts w:ascii="Times New Roman" w:hAnsi="Times New Roman"/>
                <w:color w:val="000000"/>
                <w:sz w:val="28"/>
              </w:rPr>
            </w:pPr>
            <w:r>
              <w:rPr>
                <w:rFonts w:ascii="Times New Roman" w:hAnsi="Times New Roman"/>
                <w:b w:val="1"/>
                <w:color w:val="000000"/>
                <w:sz w:val="28"/>
              </w:rPr>
              <w:t>2.1.1</w:t>
            </w:r>
            <w:r>
              <w:rPr>
                <w:rFonts w:ascii="Times New Roman" w:hAnsi="Times New Roman"/>
                <w:color w:val="000000"/>
                <w:sz w:val="28"/>
              </w:rPr>
              <w:t xml:space="preserve"> В целях корректного использования предприятиями торговли и общественного питания Ростовской области знака «Сделано на Дону» с руководителями предприятий торговли, осуществляющими свою деятельность на территории города Волгодонска, ежегодно заключаются пользовательские соглашения об использовании знака соответствия системы добровольной сертификации «Сделано на Дону».  </w:t>
            </w:r>
          </w:p>
          <w:p w14:paraId="E0040000">
            <w:pPr>
              <w:ind w:firstLine="601" w:left="0"/>
              <w:jc w:val="both"/>
              <w:rPr>
                <w:rFonts w:ascii="Times New Roman" w:hAnsi="Times New Roman"/>
                <w:color w:val="000000"/>
                <w:sz w:val="28"/>
              </w:rPr>
            </w:pPr>
            <w:r>
              <w:rPr>
                <w:rFonts w:ascii="Times New Roman" w:hAnsi="Times New Roman"/>
                <w:color w:val="000000"/>
                <w:sz w:val="28"/>
              </w:rPr>
              <w:t>В 2021 году заключены пользовательские соглашения об использовании знака соответствия системы добровольной сертификации «Сделано на Дону» на 11 объектах розничной торговли.</w:t>
            </w:r>
          </w:p>
          <w:p w14:paraId="E1040000">
            <w:pPr>
              <w:ind/>
              <w:jc w:val="center"/>
              <w:rPr>
                <w:rFonts w:ascii="Times New Roman" w:hAnsi="Times New Roman"/>
                <w:b w:val="1"/>
                <w:color w:val="000000"/>
                <w:sz w:val="28"/>
              </w:rPr>
            </w:pPr>
            <w:r>
              <w:rPr>
                <w:rFonts w:ascii="Times New Roman" w:hAnsi="Times New Roman"/>
                <w:color w:val="000000"/>
                <w:sz w:val="28"/>
              </w:rPr>
              <w:t>Всего на территории муниципального образования «Город Волгодонск» заключено 34 пользовательских соглашений об использовании знака соответствия системы добровольной сертификации «Сделано на Дону» на 170 объектах розничной торговли и в 1 объекте общественного питания. Работа с руководителями предприятий потребительского рынка по заключению пользовательских соглашений продолжается.</w:t>
            </w:r>
          </w:p>
        </w:tc>
      </w:tr>
      <w:tr>
        <w:tc>
          <w:tcPr>
            <w:tcW w:type="dxa" w:w="905"/>
            <w:tcBorders>
              <w:top w:color="000000" w:sz="4" w:val="single"/>
              <w:left w:color="000000" w:sz="4" w:val="single"/>
              <w:bottom w:color="000000" w:sz="4" w:val="single"/>
              <w:right w:color="000000" w:sz="4" w:val="single"/>
            </w:tcBorders>
            <w:shd w:fill="FFFFFF" w:val="clear"/>
          </w:tcPr>
          <w:p w14:paraId="E2040000">
            <w:pPr>
              <w:ind/>
              <w:contextualSpacing w:val="1"/>
              <w:jc w:val="center"/>
              <w:rPr>
                <w:rFonts w:ascii="Times New Roman" w:hAnsi="Times New Roman"/>
                <w:color w:val="000000"/>
                <w:sz w:val="28"/>
              </w:rPr>
            </w:pPr>
            <w:r>
              <w:rPr>
                <w:rFonts w:ascii="Times New Roman" w:hAnsi="Times New Roman"/>
                <w:color w:val="000000"/>
                <w:sz w:val="28"/>
              </w:rPr>
              <w:t>2.1.1</w:t>
            </w:r>
          </w:p>
        </w:tc>
        <w:tc>
          <w:tcPr>
            <w:tcW w:type="dxa" w:w="4502"/>
            <w:gridSpan w:val="2"/>
            <w:tcBorders>
              <w:top w:color="000000" w:sz="4" w:val="single"/>
              <w:left w:color="000000" w:sz="4" w:val="single"/>
              <w:bottom w:color="000000" w:sz="4" w:val="single"/>
              <w:right w:color="000000" w:sz="4" w:val="single"/>
            </w:tcBorders>
            <w:shd w:fill="FFFFFF" w:val="clear"/>
          </w:tcPr>
          <w:p w14:paraId="E3040000">
            <w:pPr>
              <w:rPr>
                <w:rFonts w:ascii="Times New Roman" w:hAnsi="Times New Roman"/>
                <w:color w:val="000000"/>
                <w:spacing w:val="-6"/>
                <w:sz w:val="28"/>
              </w:rPr>
            </w:pPr>
            <w:r>
              <w:rPr>
                <w:rFonts w:ascii="Times New Roman" w:hAnsi="Times New Roman"/>
                <w:color w:val="000000"/>
                <w:sz w:val="28"/>
              </w:rPr>
              <w:t>Привлечение малых и средних предприятий города Волгодонска к участию в системе добровольной сертификации «Сделано на Дону»</w:t>
            </w:r>
          </w:p>
        </w:tc>
        <w:tc>
          <w:tcPr>
            <w:tcW w:type="dxa" w:w="3458"/>
            <w:gridSpan w:val="2"/>
            <w:tcBorders>
              <w:top w:color="000000" w:sz="4" w:val="single"/>
              <w:left w:color="000000" w:sz="4" w:val="single"/>
              <w:bottom w:color="000000" w:sz="4" w:val="single"/>
              <w:right w:color="000000" w:sz="4" w:val="single"/>
            </w:tcBorders>
            <w:shd w:fill="FFFFFF" w:val="clear"/>
          </w:tcPr>
          <w:p w14:paraId="E4040000">
            <w:pPr>
              <w:rPr>
                <w:rFonts w:ascii="Times New Roman" w:hAnsi="Times New Roman"/>
                <w:color w:val="000000"/>
                <w:sz w:val="28"/>
              </w:rPr>
            </w:pPr>
            <w:r>
              <w:rPr>
                <w:rFonts w:ascii="Times New Roman" w:hAnsi="Times New Roman"/>
                <w:color w:val="000000"/>
                <w:sz w:val="28"/>
              </w:rPr>
              <w:t xml:space="preserve">повышение уровня конкурентоспособности товаров, работ и услуг субъектов МСП </w:t>
            </w:r>
          </w:p>
        </w:tc>
        <w:tc>
          <w:tcPr>
            <w:tcW w:type="dxa" w:w="3129"/>
            <w:gridSpan w:val="7"/>
            <w:tcBorders>
              <w:top w:color="000000" w:sz="4" w:val="single"/>
              <w:left w:color="000000" w:sz="4" w:val="single"/>
              <w:bottom w:color="000000" w:sz="4" w:val="single"/>
              <w:right w:color="000000" w:sz="4" w:val="single"/>
            </w:tcBorders>
            <w:shd w:fill="FFFFFF" w:val="clear"/>
          </w:tcPr>
          <w:p w14:paraId="E5040000">
            <w:pPr>
              <w:rPr>
                <w:rFonts w:ascii="Times New Roman" w:hAnsi="Times New Roman"/>
                <w:color w:val="000000"/>
                <w:sz w:val="28"/>
              </w:rPr>
            </w:pPr>
            <w:r>
              <w:rPr>
                <w:rFonts w:ascii="Times New Roman" w:hAnsi="Times New Roman"/>
                <w:color w:val="000000"/>
                <w:sz w:val="28"/>
              </w:rPr>
              <w:t>Отдел потребительского рынка товаров, услуг и защиты прав потребителей Администрации города Волгодонска</w:t>
            </w:r>
          </w:p>
        </w:tc>
        <w:tc>
          <w:tcPr>
            <w:tcW w:type="dxa" w:w="1548"/>
            <w:gridSpan w:val="6"/>
            <w:tcBorders>
              <w:top w:color="000000" w:sz="4" w:val="single"/>
              <w:left w:color="000000" w:sz="4" w:val="single"/>
              <w:bottom w:color="000000" w:sz="4" w:val="single"/>
              <w:right w:color="000000" w:sz="4" w:val="single"/>
            </w:tcBorders>
            <w:shd w:fill="auto" w:val="clear"/>
          </w:tcPr>
          <w:p w14:paraId="E6040000">
            <w:pPr>
              <w:ind/>
              <w:jc w:val="center"/>
              <w:rPr>
                <w:rFonts w:ascii="Times New Roman" w:hAnsi="Times New Roman"/>
                <w:color w:val="000000"/>
                <w:sz w:val="28"/>
              </w:rPr>
            </w:pPr>
            <w:r>
              <w:rPr>
                <w:rFonts w:ascii="Times New Roman" w:hAnsi="Times New Roman"/>
                <w:color w:val="000000"/>
                <w:sz w:val="28"/>
              </w:rPr>
              <w:t>ежегодно</w:t>
            </w:r>
          </w:p>
        </w:tc>
        <w:tc>
          <w:tcPr>
            <w:tcW w:type="dxa" w:w="1141"/>
            <w:tcBorders>
              <w:top w:color="000000" w:sz="4" w:val="single"/>
              <w:left w:color="000000" w:sz="4" w:val="single"/>
              <w:bottom w:color="000000" w:sz="4" w:val="single"/>
              <w:right w:color="000000" w:sz="4" w:val="single"/>
            </w:tcBorders>
          </w:tcPr>
          <w:p w14:paraId="E7040000">
            <w:pPr>
              <w:ind/>
              <w:jc w:val="center"/>
              <w:rPr>
                <w:rFonts w:ascii="Times New Roman" w:hAnsi="Times New Roman"/>
                <w:color w:val="000000"/>
                <w:sz w:val="28"/>
              </w:rPr>
            </w:pPr>
            <w:r>
              <w:rPr>
                <w:rFonts w:ascii="Times New Roman" w:hAnsi="Times New Roman"/>
                <w:color w:val="000000"/>
                <w:sz w:val="28"/>
              </w:rPr>
              <w:t>См.2.1</w:t>
            </w:r>
          </w:p>
        </w:tc>
      </w:tr>
      <w:tr>
        <w:trPr>
          <w:trHeight w:hRule="atLeast" w:val="792"/>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E8040000">
            <w:pPr>
              <w:ind/>
              <w:jc w:val="center"/>
              <w:rPr>
                <w:rFonts w:ascii="Times New Roman" w:hAnsi="Times New Roman"/>
                <w:b w:val="1"/>
                <w:color w:val="000000"/>
                <w:sz w:val="28"/>
              </w:rPr>
            </w:pPr>
            <w:r>
              <w:rPr>
                <w:rFonts w:ascii="Times New Roman" w:hAnsi="Times New Roman"/>
                <w:b w:val="1"/>
                <w:color w:val="000000"/>
                <w:sz w:val="28"/>
              </w:rPr>
              <w:t>2.2 Устранение избыточного государственного и муниципального регулирования,</w:t>
            </w:r>
          </w:p>
          <w:p w14:paraId="E9040000">
            <w:pPr>
              <w:ind/>
              <w:jc w:val="center"/>
              <w:rPr>
                <w:rFonts w:ascii="Times New Roman" w:hAnsi="Times New Roman"/>
                <w:b w:val="1"/>
                <w:color w:val="000000"/>
                <w:sz w:val="28"/>
              </w:rPr>
            </w:pPr>
            <w:r>
              <w:rPr>
                <w:rFonts w:ascii="Times New Roman" w:hAnsi="Times New Roman"/>
                <w:b w:val="1"/>
                <w:color w:val="000000"/>
                <w:sz w:val="28"/>
              </w:rPr>
              <w:t>а также снижение административных барьеров</w:t>
            </w:r>
          </w:p>
          <w:p w14:paraId="EA040000">
            <w:pPr>
              <w:tabs>
                <w:tab w:leader="none" w:pos="0" w:val="left"/>
              </w:tabs>
              <w:ind w:firstLine="567" w:left="0"/>
              <w:jc w:val="both"/>
              <w:rPr>
                <w:rFonts w:ascii="Times New Roman" w:hAnsi="Times New Roman"/>
                <w:color w:val="000000"/>
                <w:sz w:val="28"/>
              </w:rPr>
            </w:pPr>
            <w:r>
              <w:rPr>
                <w:rFonts w:ascii="Times New Roman" w:hAnsi="Times New Roman"/>
                <w:color w:val="000000"/>
                <w:sz w:val="28"/>
              </w:rPr>
              <w:t xml:space="preserve">- принятие мер по поддержке субъектов малого и среднего предпринимательства, </w:t>
            </w:r>
            <w:r>
              <w:rPr>
                <w:rFonts w:ascii="Times New Roman" w:hAnsi="Times New Roman"/>
                <w:color w:val="000000"/>
                <w:sz w:val="28"/>
              </w:rPr>
              <w:t>осуществляющих деятельность на территории города Волгодонска, в наибольшей степени пострадавших  в условиях ухудшения ситуации в результате распространения новой коронавирусной инфекции (2019-</w:t>
            </w:r>
            <w:r>
              <w:rPr>
                <w:rFonts w:ascii="Times New Roman" w:hAnsi="Times New Roman"/>
                <w:color w:val="000000"/>
                <w:sz w:val="28"/>
              </w:rPr>
              <w:t>nCoV</w:t>
            </w:r>
            <w:r>
              <w:rPr>
                <w:rFonts w:ascii="Times New Roman" w:hAnsi="Times New Roman"/>
                <w:color w:val="000000"/>
                <w:sz w:val="28"/>
              </w:rPr>
              <w:t>);</w:t>
            </w:r>
          </w:p>
          <w:p w14:paraId="EB040000">
            <w:pPr>
              <w:tabs>
                <w:tab w:leader="none" w:pos="0" w:val="left"/>
              </w:tabs>
              <w:ind w:firstLine="567" w:left="0"/>
              <w:jc w:val="both"/>
              <w:rPr>
                <w:rFonts w:ascii="Times New Roman" w:hAnsi="Times New Roman"/>
                <w:b w:val="1"/>
                <w:color w:val="FF0000"/>
                <w:sz w:val="28"/>
              </w:rPr>
            </w:pPr>
            <w:r>
              <w:rPr>
                <w:rFonts w:ascii="Times New Roman" w:hAnsi="Times New Roman"/>
                <w:color w:val="000000"/>
                <w:sz w:val="28"/>
              </w:rPr>
              <w:t>- снижение размера арендной платы по договорам аренды недвижимого имущества, находящегося в муниципальной собственности;</w:t>
            </w:r>
          </w:p>
        </w:tc>
      </w:tr>
      <w:tr>
        <w:tc>
          <w:tcPr>
            <w:tcW w:type="dxa" w:w="905"/>
            <w:tcBorders>
              <w:top w:color="000000" w:sz="4" w:val="single"/>
              <w:left w:color="000000" w:sz="4" w:val="single"/>
              <w:bottom w:color="000000" w:sz="4" w:val="single"/>
              <w:right w:color="000000" w:sz="4" w:val="single"/>
            </w:tcBorders>
            <w:shd w:fill="FFFFFF" w:val="clear"/>
          </w:tcPr>
          <w:p w14:paraId="EC040000">
            <w:pPr>
              <w:ind/>
              <w:jc w:val="center"/>
              <w:rPr>
                <w:rFonts w:ascii="Times New Roman" w:hAnsi="Times New Roman"/>
                <w:color w:val="000000"/>
                <w:sz w:val="28"/>
              </w:rPr>
            </w:pPr>
            <w:r>
              <w:rPr>
                <w:rFonts w:ascii="Times New Roman" w:hAnsi="Times New Roman"/>
                <w:color w:val="000000"/>
                <w:sz w:val="28"/>
              </w:rPr>
              <w:t>2.2.1.</w:t>
            </w:r>
          </w:p>
        </w:tc>
        <w:tc>
          <w:tcPr>
            <w:tcW w:type="dxa" w:w="4502"/>
            <w:gridSpan w:val="2"/>
            <w:tcBorders>
              <w:top w:color="000000" w:sz="4" w:val="single"/>
              <w:left w:color="000000" w:sz="4" w:val="single"/>
              <w:bottom w:color="000000" w:sz="4" w:val="single"/>
              <w:right w:color="000000" w:sz="4" w:val="single"/>
            </w:tcBorders>
            <w:shd w:fill="FFFFFF" w:val="clear"/>
          </w:tcPr>
          <w:p w14:paraId="ED040000">
            <w:pPr>
              <w:rPr>
                <w:rFonts w:ascii="Times New Roman" w:hAnsi="Times New Roman"/>
                <w:color w:val="000000"/>
                <w:sz w:val="28"/>
              </w:rPr>
            </w:pPr>
            <w:r>
              <w:rPr>
                <w:rFonts w:ascii="Times New Roman" w:hAnsi="Times New Roman"/>
                <w:color w:val="000000"/>
                <w:sz w:val="28"/>
              </w:rPr>
              <w:t>Организация и проведение заседаний городской межведомственной комиссии по снижению административных барьеров на пути развития предпринимательства</w:t>
            </w:r>
          </w:p>
        </w:tc>
        <w:tc>
          <w:tcPr>
            <w:tcW w:type="dxa" w:w="3458"/>
            <w:gridSpan w:val="2"/>
            <w:tcBorders>
              <w:top w:color="000000" w:sz="4" w:val="single"/>
              <w:left w:color="000000" w:sz="4" w:val="single"/>
              <w:bottom w:color="000000" w:sz="4" w:val="single"/>
              <w:right w:color="000000" w:sz="4" w:val="single"/>
            </w:tcBorders>
            <w:shd w:fill="FFFFFF" w:val="clear"/>
          </w:tcPr>
          <w:p w14:paraId="EE040000">
            <w:pPr>
              <w:rPr>
                <w:rFonts w:ascii="Times New Roman" w:hAnsi="Times New Roman"/>
                <w:color w:val="000000"/>
                <w:sz w:val="28"/>
              </w:rPr>
            </w:pPr>
            <w:r>
              <w:rPr>
                <w:rFonts w:ascii="Times New Roman" w:hAnsi="Times New Roman"/>
                <w:color w:val="000000"/>
                <w:sz w:val="28"/>
              </w:rPr>
              <w:t xml:space="preserve">реализация общесистемных </w:t>
            </w:r>
          </w:p>
          <w:p w14:paraId="EF040000">
            <w:pPr>
              <w:rPr>
                <w:rFonts w:ascii="Times New Roman" w:hAnsi="Times New Roman"/>
                <w:color w:val="000000"/>
                <w:sz w:val="28"/>
              </w:rPr>
            </w:pPr>
            <w:r>
              <w:rPr>
                <w:rFonts w:ascii="Times New Roman" w:hAnsi="Times New Roman"/>
                <w:color w:val="000000"/>
                <w:sz w:val="28"/>
              </w:rPr>
              <w:t>мер снижения административных барьеров и повышения доступности государственных и муниципальных услуг</w:t>
            </w:r>
          </w:p>
        </w:tc>
        <w:tc>
          <w:tcPr>
            <w:tcW w:type="dxa" w:w="2880"/>
            <w:gridSpan w:val="6"/>
            <w:tcBorders>
              <w:top w:color="000000" w:sz="4" w:val="single"/>
              <w:left w:color="000000" w:sz="4" w:val="single"/>
              <w:bottom w:color="000000" w:sz="4" w:val="single"/>
              <w:right w:color="000000" w:sz="4" w:val="single"/>
            </w:tcBorders>
            <w:shd w:fill="FFFFFF" w:val="clear"/>
          </w:tcPr>
          <w:p w14:paraId="F0040000">
            <w:pPr>
              <w:rPr>
                <w:rFonts w:ascii="Times New Roman" w:hAnsi="Times New Roman"/>
                <w:color w:val="000000"/>
                <w:sz w:val="28"/>
              </w:rPr>
            </w:pPr>
            <w:r>
              <w:rPr>
                <w:rFonts w:ascii="Times New Roman" w:hAnsi="Times New Roman"/>
                <w:color w:val="000000"/>
                <w:sz w:val="28"/>
              </w:rPr>
              <w:t>Отдел экономического развития Администрации города Волгодонска</w:t>
            </w:r>
          </w:p>
          <w:p w14:paraId="F1040000">
            <w:pPr>
              <w:rPr>
                <w:rFonts w:ascii="Times New Roman" w:hAnsi="Times New Roman"/>
                <w:color w:val="000000"/>
                <w:sz w:val="28"/>
              </w:rPr>
            </w:pPr>
          </w:p>
        </w:tc>
        <w:tc>
          <w:tcPr>
            <w:tcW w:type="dxa" w:w="1398"/>
            <w:gridSpan w:val="5"/>
            <w:tcBorders>
              <w:top w:color="000000" w:sz="4" w:val="single"/>
              <w:left w:color="000000" w:sz="4" w:val="single"/>
              <w:bottom w:color="000000" w:sz="4" w:val="single"/>
              <w:right w:color="000000" w:sz="4" w:val="single"/>
            </w:tcBorders>
            <w:shd w:fill="FFFFFF" w:val="clear"/>
          </w:tcPr>
          <w:p w14:paraId="F2040000">
            <w:pPr>
              <w:ind/>
              <w:jc w:val="center"/>
              <w:rPr>
                <w:rFonts w:ascii="Times New Roman" w:hAnsi="Times New Roman"/>
                <w:color w:val="000000"/>
                <w:sz w:val="28"/>
              </w:rPr>
            </w:pPr>
            <w:r>
              <w:rPr>
                <w:rFonts w:ascii="Times New Roman" w:hAnsi="Times New Roman"/>
                <w:color w:val="000000"/>
                <w:sz w:val="28"/>
              </w:rPr>
              <w:t>ежегодно</w:t>
            </w:r>
          </w:p>
        </w:tc>
        <w:tc>
          <w:tcPr>
            <w:tcW w:type="dxa" w:w="1540"/>
            <w:gridSpan w:val="3"/>
            <w:tcBorders>
              <w:top w:color="000000" w:sz="4" w:val="single"/>
              <w:left w:color="000000" w:sz="4" w:val="single"/>
              <w:bottom w:color="000000" w:sz="4" w:val="single"/>
              <w:right w:color="000000" w:sz="4" w:val="single"/>
            </w:tcBorders>
            <w:shd w:fill="FFFFFF" w:val="clear"/>
          </w:tcPr>
          <w:p w14:paraId="F3040000">
            <w:pPr>
              <w:rPr>
                <w:rFonts w:ascii="Times New Roman" w:hAnsi="Times New Roman"/>
                <w:color w:val="000000"/>
                <w:sz w:val="28"/>
              </w:rPr>
            </w:pPr>
            <w:r>
              <w:rPr>
                <w:rFonts w:ascii="Times New Roman" w:hAnsi="Times New Roman"/>
                <w:color w:val="000000"/>
                <w:sz w:val="28"/>
              </w:rPr>
              <w:t>В 2021 проведено 4 заседания городской межведомственной комиссии по снижению административных барьеров на пути развития предпринимательства</w:t>
            </w:r>
          </w:p>
        </w:tc>
      </w:tr>
      <w:tr>
        <w:tc>
          <w:tcPr>
            <w:tcW w:type="dxa" w:w="905"/>
            <w:tcBorders>
              <w:top w:color="000000" w:sz="4" w:val="single"/>
              <w:left w:color="000000" w:sz="4" w:val="single"/>
              <w:bottom w:color="000000" w:sz="4" w:val="single"/>
              <w:right w:color="000000" w:sz="4" w:val="single"/>
            </w:tcBorders>
            <w:shd w:fill="FFFFFF" w:val="clear"/>
            <w:vAlign w:val="center"/>
          </w:tcPr>
          <w:p w14:paraId="F4040000">
            <w:pPr>
              <w:ind/>
              <w:jc w:val="center"/>
              <w:rPr>
                <w:rFonts w:ascii="Times New Roman" w:hAnsi="Times New Roman"/>
                <w:color w:val="000000"/>
                <w:sz w:val="28"/>
              </w:rPr>
            </w:pPr>
            <w:r>
              <w:rPr>
                <w:rFonts w:ascii="Times New Roman" w:hAnsi="Times New Roman"/>
                <w:color w:val="000000"/>
                <w:sz w:val="28"/>
              </w:rPr>
              <w:t>2.2.2.</w:t>
            </w:r>
          </w:p>
        </w:tc>
        <w:tc>
          <w:tcPr>
            <w:tcW w:type="dxa" w:w="4502"/>
            <w:gridSpan w:val="2"/>
            <w:tcBorders>
              <w:top w:color="000000" w:sz="4" w:val="single"/>
              <w:left w:color="000000" w:sz="4" w:val="single"/>
              <w:bottom w:color="000000" w:sz="4" w:val="single"/>
              <w:right w:color="000000" w:sz="4" w:val="single"/>
            </w:tcBorders>
            <w:shd w:fill="FFFFFF" w:val="clear"/>
          </w:tcPr>
          <w:p w14:paraId="F5040000">
            <w:pPr>
              <w:rPr>
                <w:rFonts w:ascii="Times New Roman" w:hAnsi="Times New Roman"/>
                <w:color w:val="000000"/>
                <w:sz w:val="28"/>
              </w:rPr>
            </w:pPr>
            <w:r>
              <w:rPr>
                <w:rFonts w:ascii="Times New Roman" w:hAnsi="Times New Roman"/>
                <w:color w:val="000000"/>
                <w:sz w:val="28"/>
              </w:rPr>
              <w:t>Организация и проведение семинаров с участием руководителей органов исполнительной власти Ростовской области и территориальных отделений федеральных органов исполнительной власти с целью повышения правовой грамотности субъектов предпринимательства</w:t>
            </w:r>
          </w:p>
        </w:tc>
        <w:tc>
          <w:tcPr>
            <w:tcW w:type="dxa" w:w="3458"/>
            <w:gridSpan w:val="2"/>
            <w:tcBorders>
              <w:top w:color="000000" w:sz="4" w:val="single"/>
              <w:left w:color="000000" w:sz="4" w:val="single"/>
              <w:bottom w:color="000000" w:sz="4" w:val="single"/>
              <w:right w:color="000000" w:sz="4" w:val="single"/>
            </w:tcBorders>
            <w:shd w:fill="FFFFFF" w:val="clear"/>
          </w:tcPr>
          <w:p w14:paraId="F6040000">
            <w:pPr>
              <w:ind/>
              <w:jc w:val="both"/>
              <w:rPr>
                <w:rFonts w:ascii="Times New Roman" w:hAnsi="Times New Roman"/>
                <w:color w:val="000000"/>
                <w:sz w:val="28"/>
              </w:rPr>
            </w:pPr>
            <w:r>
              <w:rPr>
                <w:rFonts w:ascii="Times New Roman" w:hAnsi="Times New Roman"/>
                <w:color w:val="000000"/>
                <w:sz w:val="28"/>
              </w:rPr>
              <w:t>правовое просвещение субъектов предпринимательской деятельности</w:t>
            </w:r>
          </w:p>
        </w:tc>
        <w:tc>
          <w:tcPr>
            <w:tcW w:type="dxa" w:w="2880"/>
            <w:gridSpan w:val="6"/>
            <w:tcBorders>
              <w:top w:color="000000" w:sz="4" w:val="single"/>
              <w:left w:color="000000" w:sz="4" w:val="single"/>
              <w:bottom w:color="000000" w:sz="4" w:val="single"/>
              <w:right w:color="000000" w:sz="4" w:val="single"/>
            </w:tcBorders>
            <w:shd w:fill="FFFFFF" w:val="clear"/>
          </w:tcPr>
          <w:p w14:paraId="F7040000">
            <w:pPr>
              <w:rPr>
                <w:rFonts w:ascii="Times New Roman" w:hAnsi="Times New Roman"/>
                <w:color w:val="000000"/>
                <w:sz w:val="28"/>
              </w:rPr>
            </w:pPr>
            <w:r>
              <w:rPr>
                <w:rFonts w:ascii="Times New Roman" w:hAnsi="Times New Roman"/>
                <w:color w:val="000000"/>
                <w:sz w:val="28"/>
              </w:rPr>
              <w:t>Отдел экономического развития Администрации города Волгодонска</w:t>
            </w:r>
          </w:p>
          <w:p w14:paraId="F8040000">
            <w:pPr>
              <w:rPr>
                <w:rFonts w:ascii="Times New Roman" w:hAnsi="Times New Roman"/>
                <w:color w:val="000000"/>
                <w:sz w:val="28"/>
              </w:rPr>
            </w:pPr>
          </w:p>
        </w:tc>
        <w:tc>
          <w:tcPr>
            <w:tcW w:type="dxa" w:w="1398"/>
            <w:gridSpan w:val="5"/>
            <w:tcBorders>
              <w:top w:color="000000" w:sz="4" w:val="single"/>
              <w:left w:color="000000" w:sz="4" w:val="single"/>
              <w:bottom w:color="000000" w:sz="4" w:val="single"/>
              <w:right w:color="000000" w:sz="4" w:val="single"/>
            </w:tcBorders>
            <w:shd w:fill="FFFFFF" w:val="clear"/>
          </w:tcPr>
          <w:p w14:paraId="F9040000">
            <w:pPr>
              <w:ind/>
              <w:jc w:val="center"/>
              <w:rPr>
                <w:rFonts w:ascii="Times New Roman" w:hAnsi="Times New Roman"/>
                <w:color w:val="000000"/>
                <w:sz w:val="28"/>
              </w:rPr>
            </w:pPr>
            <w:r>
              <w:rPr>
                <w:rFonts w:ascii="Times New Roman" w:hAnsi="Times New Roman"/>
                <w:color w:val="000000"/>
                <w:sz w:val="28"/>
              </w:rPr>
              <w:t>ежегодно</w:t>
            </w:r>
          </w:p>
        </w:tc>
        <w:tc>
          <w:tcPr>
            <w:tcW w:type="dxa" w:w="1540"/>
            <w:gridSpan w:val="3"/>
            <w:tcBorders>
              <w:top w:color="000000" w:sz="4" w:val="single"/>
              <w:left w:color="000000" w:sz="4" w:val="single"/>
              <w:bottom w:color="000000" w:sz="4" w:val="single"/>
              <w:right w:color="000000" w:sz="4" w:val="single"/>
            </w:tcBorders>
            <w:shd w:fill="FFFFFF" w:val="clear"/>
          </w:tcPr>
          <w:p w14:paraId="FA040000">
            <w:pPr>
              <w:rPr>
                <w:rFonts w:ascii="Times New Roman" w:hAnsi="Times New Roman"/>
                <w:color w:val="000000"/>
                <w:sz w:val="28"/>
              </w:rPr>
            </w:pPr>
            <w:r>
              <w:rPr>
                <w:rFonts w:ascii="Times New Roman" w:hAnsi="Times New Roman"/>
                <w:color w:val="000000"/>
                <w:sz w:val="28"/>
              </w:rPr>
              <w:t>В 2021 году проведено 3 семинаров</w:t>
            </w:r>
            <w:r>
              <w:rPr>
                <w:rFonts w:ascii="Times New Roman" w:hAnsi="Times New Roman"/>
                <w:color w:val="000000"/>
                <w:sz w:val="28"/>
              </w:rPr>
              <w:t xml:space="preserve"> с целью повышения правовой грамотности субъектов предпринимательства</w:t>
            </w:r>
          </w:p>
        </w:tc>
      </w:tr>
      <w:tr>
        <w:trPr>
          <w:trHeight w:hRule="atLeast" w:val="548"/>
        </w:trPr>
        <w:tc>
          <w:tcPr>
            <w:tcW w:type="dxa" w:w="13143"/>
            <w:gridSpan w:val="16"/>
            <w:tcBorders>
              <w:top w:color="000000" w:sz="4" w:val="single"/>
              <w:left w:color="000000" w:sz="4" w:val="single"/>
              <w:bottom w:color="000000" w:sz="4" w:val="single"/>
              <w:right w:color="000000" w:sz="4" w:val="single"/>
            </w:tcBorders>
            <w:shd w:fill="FFFFFF" w:val="clear"/>
            <w:vAlign w:val="center"/>
          </w:tcPr>
          <w:p w14:paraId="FB040000">
            <w:pPr>
              <w:ind/>
              <w:jc w:val="center"/>
              <w:rPr>
                <w:rFonts w:ascii="Times New Roman" w:hAnsi="Times New Roman"/>
                <w:b w:val="1"/>
                <w:color w:val="000000"/>
                <w:sz w:val="28"/>
              </w:rPr>
            </w:pPr>
            <w:r>
              <w:rPr>
                <w:rFonts w:ascii="Times New Roman" w:hAnsi="Times New Roman"/>
                <w:b w:val="1"/>
                <w:color w:val="000000"/>
                <w:sz w:val="28"/>
              </w:rPr>
              <w:t>2.3 Создание условий для недискриминационного доступа хозяйствующих субъектов на товарные рынки</w:t>
            </w:r>
          </w:p>
        </w:tc>
        <w:tc>
          <w:tcPr>
            <w:tcW w:type="dxa" w:w="1540"/>
            <w:gridSpan w:val="3"/>
            <w:tcBorders>
              <w:top w:color="000000" w:sz="4" w:val="single"/>
              <w:left w:color="000000" w:sz="4" w:val="single"/>
              <w:bottom w:color="000000" w:sz="4" w:val="single"/>
              <w:right w:color="000000" w:sz="4" w:val="single"/>
            </w:tcBorders>
            <w:shd w:fill="FFFFFF" w:val="clear"/>
          </w:tcPr>
          <w:p w14:paraId="FC040000">
            <w:pPr>
              <w:ind/>
              <w:jc w:val="center"/>
              <w:rPr>
                <w:rFonts w:ascii="Times New Roman" w:hAnsi="Times New Roman"/>
                <w:b w:val="1"/>
                <w:color w:val="000000"/>
                <w:sz w:val="28"/>
              </w:rPr>
            </w:pPr>
          </w:p>
        </w:tc>
      </w:tr>
      <w:tr>
        <w:tc>
          <w:tcPr>
            <w:tcW w:type="dxa" w:w="905"/>
            <w:tcBorders>
              <w:top w:color="000000" w:sz="4" w:val="single"/>
              <w:left w:color="000000" w:sz="4" w:val="single"/>
              <w:bottom w:color="000000" w:sz="4" w:val="single"/>
              <w:right w:color="000000" w:sz="4" w:val="single"/>
            </w:tcBorders>
            <w:shd w:fill="FFFFFF" w:val="clear"/>
          </w:tcPr>
          <w:p w14:paraId="FD040000">
            <w:pPr>
              <w:spacing w:line="240" w:lineRule="auto"/>
              <w:ind w:firstLine="0" w:left="-57"/>
              <w:jc w:val="center"/>
              <w:rPr>
                <w:rFonts w:ascii="Times New Roman" w:hAnsi="Times New Roman"/>
                <w:color w:val="000000"/>
                <w:sz w:val="28"/>
              </w:rPr>
            </w:pPr>
            <w:r>
              <w:rPr>
                <w:rFonts w:ascii="Times New Roman" w:hAnsi="Times New Roman"/>
                <w:color w:val="000000"/>
                <w:sz w:val="28"/>
              </w:rPr>
              <w:t>2.3.1</w:t>
            </w:r>
          </w:p>
        </w:tc>
        <w:tc>
          <w:tcPr>
            <w:tcW w:type="dxa" w:w="4502"/>
            <w:gridSpan w:val="2"/>
            <w:tcBorders>
              <w:top w:color="000000" w:sz="4" w:val="single"/>
              <w:left w:color="000000" w:sz="4" w:val="single"/>
              <w:bottom w:color="000000" w:sz="4" w:val="single"/>
              <w:right w:color="000000" w:sz="4" w:val="single"/>
            </w:tcBorders>
            <w:shd w:fill="FFFFFF" w:val="clear"/>
          </w:tcPr>
          <w:p w14:paraId="FE040000">
            <w:pPr>
              <w:ind/>
              <w:contextualSpacing w:val="1"/>
              <w:rPr>
                <w:rFonts w:ascii="Times New Roman" w:hAnsi="Times New Roman"/>
                <w:color w:val="000000"/>
                <w:sz w:val="28"/>
              </w:rPr>
            </w:pPr>
            <w:r>
              <w:rPr>
                <w:rFonts w:ascii="Times New Roman" w:hAnsi="Times New Roman"/>
                <w:color w:val="000000"/>
                <w:sz w:val="28"/>
              </w:rPr>
              <w:t>Проведение мониторинга состояния и развития конкуренции на товарных рынках Ростовской области</w:t>
            </w:r>
          </w:p>
        </w:tc>
        <w:tc>
          <w:tcPr>
            <w:tcW w:type="dxa" w:w="3458"/>
            <w:gridSpan w:val="2"/>
            <w:tcBorders>
              <w:top w:color="000000" w:sz="4" w:val="single"/>
              <w:left w:color="000000" w:sz="4" w:val="single"/>
              <w:bottom w:color="000000" w:sz="4" w:val="single"/>
              <w:right w:color="000000" w:sz="4" w:val="single"/>
            </w:tcBorders>
            <w:shd w:fill="FFFFFF" w:val="clear"/>
          </w:tcPr>
          <w:p w14:paraId="FF040000">
            <w:pPr>
              <w:tabs>
                <w:tab w:leader="none" w:pos="0" w:val="left"/>
              </w:tabs>
              <w:ind/>
              <w:contextualSpacing w:val="1"/>
              <w:rPr>
                <w:rFonts w:ascii="Times New Roman" w:hAnsi="Times New Roman"/>
                <w:color w:val="000000"/>
                <w:sz w:val="28"/>
              </w:rPr>
            </w:pPr>
            <w:r>
              <w:rPr>
                <w:rFonts w:ascii="Times New Roman" w:hAnsi="Times New Roman"/>
                <w:color w:val="000000"/>
                <w:sz w:val="28"/>
              </w:rPr>
              <w:t>оценка состояния конкуренции субъектами предпринимательской деятельности и определение удовлетворенности потребителей качеством товаров, работ и услуг и состоянием ценовой конкуренции</w:t>
            </w:r>
          </w:p>
        </w:tc>
        <w:tc>
          <w:tcPr>
            <w:tcW w:type="dxa" w:w="3129"/>
            <w:gridSpan w:val="7"/>
            <w:tcBorders>
              <w:top w:color="000000" w:sz="4" w:val="single"/>
              <w:left w:color="000000" w:sz="4" w:val="single"/>
              <w:bottom w:color="000000" w:sz="4" w:val="single"/>
              <w:right w:color="000000" w:sz="4" w:val="single"/>
            </w:tcBorders>
            <w:shd w:fill="FFFFFF" w:val="clear"/>
          </w:tcPr>
          <w:p w14:paraId="00050000">
            <w:pPr>
              <w:rPr>
                <w:rFonts w:ascii="Times New Roman" w:hAnsi="Times New Roman"/>
                <w:color w:val="000000"/>
                <w:sz w:val="28"/>
              </w:rPr>
            </w:pPr>
            <w:r>
              <w:rPr>
                <w:rFonts w:ascii="Times New Roman" w:hAnsi="Times New Roman"/>
                <w:color w:val="000000"/>
                <w:sz w:val="28"/>
              </w:rPr>
              <w:t>Отдел экономического развития Администрации города Волгодонска</w:t>
            </w:r>
          </w:p>
          <w:p w14:paraId="01050000">
            <w:pPr>
              <w:ind/>
              <w:jc w:val="center"/>
              <w:rPr>
                <w:rFonts w:ascii="Times New Roman" w:hAnsi="Times New Roman"/>
                <w:color w:val="000000"/>
                <w:sz w:val="28"/>
              </w:rPr>
            </w:pPr>
          </w:p>
        </w:tc>
        <w:tc>
          <w:tcPr>
            <w:tcW w:type="dxa" w:w="1149"/>
            <w:gridSpan w:val="4"/>
            <w:tcBorders>
              <w:top w:color="000000" w:sz="4" w:val="single"/>
              <w:left w:color="000000" w:sz="4" w:val="single"/>
              <w:bottom w:color="000000" w:sz="4" w:val="single"/>
              <w:right w:color="000000" w:sz="4" w:val="single"/>
            </w:tcBorders>
            <w:shd w:fill="FFFFFF" w:val="clear"/>
          </w:tcPr>
          <w:p w14:paraId="02050000">
            <w:pPr>
              <w:ind/>
              <w:jc w:val="center"/>
              <w:rPr>
                <w:rFonts w:ascii="Times New Roman" w:hAnsi="Times New Roman"/>
                <w:color w:val="000000"/>
                <w:sz w:val="28"/>
              </w:rPr>
            </w:pPr>
            <w:r>
              <w:rPr>
                <w:rFonts w:ascii="Times New Roman" w:hAnsi="Times New Roman"/>
                <w:color w:val="000000"/>
                <w:sz w:val="28"/>
              </w:rPr>
              <w:t>ежегодно</w:t>
            </w:r>
          </w:p>
        </w:tc>
        <w:tc>
          <w:tcPr>
            <w:tcW w:type="dxa" w:w="1540"/>
            <w:gridSpan w:val="3"/>
            <w:tcBorders>
              <w:top w:color="000000" w:sz="4" w:val="single"/>
              <w:left w:color="000000" w:sz="4" w:val="single"/>
              <w:bottom w:color="000000" w:sz="4" w:val="single"/>
              <w:right w:color="000000" w:sz="4" w:val="single"/>
            </w:tcBorders>
            <w:shd w:fill="FFFFFF" w:val="clear"/>
          </w:tcPr>
          <w:p w14:paraId="03050000">
            <w:pPr>
              <w:rPr>
                <w:rFonts w:ascii="Times New Roman" w:hAnsi="Times New Roman"/>
                <w:color w:val="000000"/>
                <w:sz w:val="28"/>
              </w:rPr>
            </w:pPr>
            <w:r>
              <w:rPr>
                <w:rFonts w:ascii="Times New Roman" w:hAnsi="Times New Roman"/>
                <w:color w:val="000000"/>
                <w:sz w:val="28"/>
              </w:rPr>
              <w:t>Проведен мониторинг состояния и развития конкуренции на товарных рынках Ростовской области</w:t>
            </w:r>
          </w:p>
        </w:tc>
      </w:tr>
      <w:tr>
        <w:trPr>
          <w:trHeight w:hRule="atLeast" w:val="843"/>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04050000">
            <w:pPr>
              <w:ind/>
              <w:jc w:val="center"/>
              <w:rPr>
                <w:rFonts w:ascii="Times New Roman" w:hAnsi="Times New Roman"/>
                <w:b w:val="1"/>
                <w:color w:val="000000"/>
                <w:sz w:val="28"/>
              </w:rPr>
            </w:pPr>
            <w:r>
              <w:rPr>
                <w:rFonts w:ascii="Times New Roman" w:hAnsi="Times New Roman"/>
                <w:b w:val="1"/>
                <w:color w:val="000000"/>
                <w:sz w:val="28"/>
              </w:rPr>
              <w:t>2.4 Содействие развитию негосударственных (немуниципальных) социально ориентированных некоммерческих организаций и «социального предпринимательства»</w:t>
            </w:r>
          </w:p>
          <w:p w14:paraId="05050000">
            <w:pPr>
              <w:pStyle w:val="Style_3"/>
              <w:spacing w:after="0" w:before="0"/>
              <w:ind w:firstLine="709" w:left="0"/>
              <w:jc w:val="both"/>
              <w:rPr>
                <w:sz w:val="28"/>
              </w:rPr>
            </w:pPr>
            <w:r>
              <w:rPr>
                <w:sz w:val="28"/>
              </w:rPr>
              <w:t>В течение отчетного периода отделом по организационной работе и взаимодействию с общественными организациями Администрации города Волгодонска на постоянной основе оказывалось руководителям и активистам СО НКО содействие в реализации ими социальных проектов и программ. За 2021 год оказано содействие в проведении более 70-ти мероприятий («круглые столы, встречи, семинары и пр.).</w:t>
            </w:r>
          </w:p>
          <w:p w14:paraId="06050000">
            <w:pPr>
              <w:pStyle w:val="Style_3"/>
              <w:spacing w:after="0" w:before="0"/>
              <w:ind w:firstLine="709" w:left="0"/>
              <w:jc w:val="both"/>
              <w:rPr>
                <w:sz w:val="28"/>
              </w:rPr>
            </w:pPr>
            <w:r>
              <w:rPr>
                <w:sz w:val="28"/>
              </w:rPr>
              <w:t xml:space="preserve">Согласно утвержденному графику СО НКО велись личные приемы граждан. Осуществляла работу «Школа начинающего предпринимателя» на базе </w:t>
            </w:r>
            <w:r>
              <w:rPr>
                <w:color w:val="000000"/>
                <w:sz w:val="28"/>
                <w:highlight w:val="white"/>
              </w:rPr>
              <w:t>Центра «Мой бизнес» города Волгодонска</w:t>
            </w:r>
            <w:r>
              <w:rPr>
                <w:sz w:val="28"/>
              </w:rPr>
              <w:t xml:space="preserve"> (проведено 5 занятий). Занятия «школы» посетили   порядка 70 человек. На базе Центра общественных организаций регулярно проводятся онлайн и офлайн встречи и круглые столы с представителями Администрации города Волгодонска, территориальных органов, федеральных органов исполнительной власти, творческие мастер-классы.  </w:t>
            </w:r>
          </w:p>
          <w:p w14:paraId="07050000">
            <w:pPr>
              <w:pStyle w:val="Style_3"/>
              <w:spacing w:after="0" w:before="0"/>
              <w:ind w:firstLine="709" w:left="0"/>
              <w:jc w:val="both"/>
              <w:rPr>
                <w:sz w:val="28"/>
              </w:rPr>
            </w:pPr>
            <w:r>
              <w:rPr>
                <w:sz w:val="28"/>
              </w:rPr>
              <w:t>На базе Центра общественных организаций Администрацией города Волгодонска организовано обучение активистов СО НКО проектному менеджменту, фандрайзингу и другим современным направлениям работы организаций некоммерческого сектора. На постоянной основе ведутся индивидуальные консультации по вопросам работы СО НКО. С целью информирования жителей города Волгодонска в социальной сети «Вконтакте» существует информационная группа «Центр общественных организаций города Волгодонска», в мессенджере «Whatsapp» группа «НКО города Волгодонска», где ежедневно публикуется информация о планируемых и проведенных мероприятиях СО НКО. Вся информация дополнительно размещается на официальном сайте Администрации города Волгодонска, на сайте «Гражданский форум Ростовской области» и сайте Общественной палаты города Волгодонска.</w:t>
            </w:r>
          </w:p>
          <w:p w14:paraId="08050000">
            <w:pPr>
              <w:ind w:firstLine="709" w:left="0"/>
              <w:jc w:val="both"/>
              <w:rPr>
                <w:rFonts w:ascii="Times New Roman" w:hAnsi="Times New Roman"/>
                <w:sz w:val="28"/>
              </w:rPr>
            </w:pPr>
            <w:r>
              <w:rPr>
                <w:rFonts w:ascii="Times New Roman" w:hAnsi="Times New Roman"/>
                <w:sz w:val="28"/>
              </w:rPr>
              <w:t>Отделом по организационной работе и взаимодействию с общественными организациями Администрации города Волгодонска проводятся индивидуальные консультации для руководителей и сотрудников СО НКО, тематические семинары по вопросам, входящим в сферу их деятельности. Также приобретается для СО НКО специальная (профессиональная) литература, касающаяся деятельности организаций некоммерческого сектора, происходит обеспечение постоянного пополнения методического кабинета Центра общественных организаций города Волгодонска, оказывается методическая поддержка при подготовке к проведению СО НКО мероприятий различного формата (встреч, «круглых столов», дебатов и пр.).</w:t>
            </w:r>
          </w:p>
          <w:p w14:paraId="09050000">
            <w:pPr>
              <w:ind w:firstLine="709" w:left="0"/>
              <w:jc w:val="both"/>
              <w:rPr>
                <w:rFonts w:ascii="Times New Roman" w:hAnsi="Times New Roman"/>
                <w:b w:val="1"/>
                <w:color w:val="FF0000"/>
                <w:sz w:val="28"/>
              </w:rPr>
            </w:pPr>
          </w:p>
        </w:tc>
      </w:tr>
      <w:tr>
        <w:tc>
          <w:tcPr>
            <w:tcW w:type="dxa" w:w="905"/>
            <w:tcBorders>
              <w:top w:color="000000" w:sz="4" w:val="single"/>
              <w:left w:color="000000" w:sz="4" w:val="single"/>
              <w:bottom w:color="000000" w:sz="4" w:val="single"/>
              <w:right w:color="000000" w:sz="4" w:val="single"/>
            </w:tcBorders>
            <w:shd w:fill="FFFFFF" w:val="clear"/>
          </w:tcPr>
          <w:p w14:paraId="0A050000">
            <w:pPr>
              <w:spacing w:line="240" w:lineRule="auto"/>
              <w:ind w:firstLine="0" w:left="-57"/>
              <w:jc w:val="center"/>
              <w:rPr>
                <w:rFonts w:ascii="Times New Roman" w:hAnsi="Times New Roman"/>
                <w:sz w:val="28"/>
              </w:rPr>
            </w:pPr>
            <w:r>
              <w:rPr>
                <w:rFonts w:ascii="Times New Roman" w:hAnsi="Times New Roman"/>
                <w:sz w:val="28"/>
              </w:rPr>
              <w:t>2.4.1</w:t>
            </w:r>
          </w:p>
        </w:tc>
        <w:tc>
          <w:tcPr>
            <w:tcW w:type="dxa" w:w="4502"/>
            <w:gridSpan w:val="2"/>
            <w:tcBorders>
              <w:top w:color="000000" w:sz="4" w:val="single"/>
              <w:left w:color="000000" w:sz="4" w:val="single"/>
              <w:bottom w:color="000000" w:sz="4" w:val="single"/>
              <w:right w:color="000000" w:sz="4" w:val="single"/>
            </w:tcBorders>
            <w:shd w:fill="FFFFFF" w:val="clear"/>
          </w:tcPr>
          <w:p w14:paraId="0B050000">
            <w:pPr>
              <w:keepNext w:val="1"/>
              <w:keepLines w:val="1"/>
              <w:ind/>
              <w:jc w:val="both"/>
              <w:rPr>
                <w:rFonts w:ascii="Times New Roman" w:hAnsi="Times New Roman"/>
                <w:sz w:val="28"/>
              </w:rPr>
            </w:pPr>
            <w:r>
              <w:rPr>
                <w:rFonts w:ascii="Times New Roman" w:hAnsi="Times New Roman"/>
                <w:sz w:val="28"/>
              </w:rPr>
              <w:t>Оказание информационной и консультационной поддержки социально ориентированным некоммерческим организациям</w:t>
            </w:r>
          </w:p>
        </w:tc>
        <w:tc>
          <w:tcPr>
            <w:tcW w:type="dxa" w:w="3458"/>
            <w:gridSpan w:val="2"/>
            <w:tcBorders>
              <w:top w:color="000000" w:sz="4" w:val="single"/>
              <w:left w:color="000000" w:sz="4" w:val="single"/>
              <w:bottom w:color="000000" w:sz="4" w:val="single"/>
              <w:right w:color="000000" w:sz="4" w:val="single"/>
            </w:tcBorders>
            <w:shd w:fill="FFFFFF" w:val="clear"/>
          </w:tcPr>
          <w:p w14:paraId="0C050000">
            <w:pPr>
              <w:rPr>
                <w:rFonts w:ascii="Times New Roman" w:hAnsi="Times New Roman"/>
                <w:sz w:val="28"/>
              </w:rPr>
            </w:pPr>
            <w:r>
              <w:rPr>
                <w:rFonts w:ascii="Times New Roman" w:hAnsi="Times New Roman"/>
                <w:sz w:val="28"/>
              </w:rPr>
              <w:t xml:space="preserve">увеличение количества </w:t>
            </w:r>
          </w:p>
          <w:p w14:paraId="0D050000">
            <w:pPr>
              <w:rPr>
                <w:rFonts w:ascii="Times New Roman" w:hAnsi="Times New Roman"/>
                <w:sz w:val="28"/>
              </w:rPr>
            </w:pPr>
            <w:r>
              <w:rPr>
                <w:rFonts w:ascii="Times New Roman" w:hAnsi="Times New Roman"/>
                <w:sz w:val="28"/>
              </w:rPr>
              <w:t>СО НКО</w:t>
            </w:r>
          </w:p>
        </w:tc>
        <w:tc>
          <w:tcPr>
            <w:tcW w:type="dxa" w:w="3129"/>
            <w:gridSpan w:val="7"/>
            <w:tcBorders>
              <w:top w:color="000000" w:sz="4" w:val="single"/>
              <w:left w:color="000000" w:sz="4" w:val="single"/>
              <w:bottom w:color="000000" w:sz="4" w:val="single"/>
              <w:right w:color="000000" w:sz="4" w:val="single"/>
            </w:tcBorders>
            <w:shd w:fill="FFFFFF" w:val="clear"/>
          </w:tcPr>
          <w:p w14:paraId="0E050000">
            <w:pPr>
              <w:rPr>
                <w:rFonts w:ascii="Times New Roman" w:hAnsi="Times New Roman"/>
                <w:sz w:val="28"/>
              </w:rPr>
            </w:pPr>
            <w:r>
              <w:rPr>
                <w:rFonts w:ascii="Times New Roman" w:hAnsi="Times New Roman"/>
                <w:sz w:val="28"/>
              </w:rPr>
              <w:t>Отдел по организационной работе и взаимодействию с общественными организациями Администрации города Волгодонска</w:t>
            </w:r>
          </w:p>
        </w:tc>
        <w:tc>
          <w:tcPr>
            <w:tcW w:type="dxa" w:w="2689"/>
            <w:gridSpan w:val="7"/>
            <w:tcBorders>
              <w:top w:color="000000" w:sz="4" w:val="single"/>
              <w:left w:color="000000" w:sz="4" w:val="single"/>
              <w:bottom w:color="000000" w:sz="4" w:val="single"/>
              <w:right w:color="000000" w:sz="4" w:val="single"/>
            </w:tcBorders>
            <w:shd w:fill="FFFFFF" w:val="clear"/>
          </w:tcPr>
          <w:p w14:paraId="0F050000">
            <w:pPr>
              <w:ind/>
              <w:jc w:val="center"/>
              <w:rPr>
                <w:rFonts w:ascii="Times New Roman" w:hAnsi="Times New Roman"/>
                <w:sz w:val="28"/>
              </w:rPr>
            </w:pPr>
            <w:r>
              <w:rPr>
                <w:rFonts w:ascii="Times New Roman" w:hAnsi="Times New Roman"/>
                <w:sz w:val="28"/>
              </w:rPr>
              <w:t>Ежегодно</w:t>
            </w:r>
          </w:p>
          <w:p w14:paraId="10050000">
            <w:pPr>
              <w:ind/>
              <w:jc w:val="center"/>
              <w:rPr>
                <w:rFonts w:ascii="Times New Roman" w:hAnsi="Times New Roman"/>
                <w:sz w:val="28"/>
              </w:rPr>
            </w:pPr>
            <w:r>
              <w:rPr>
                <w:rFonts w:ascii="Times New Roman" w:hAnsi="Times New Roman"/>
                <w:sz w:val="28"/>
              </w:rPr>
              <w:t>См. 2.4</w:t>
            </w:r>
          </w:p>
        </w:tc>
      </w:tr>
      <w:tr>
        <w:trPr>
          <w:trHeight w:hRule="atLeast" w:val="495"/>
        </w:trPr>
        <w:tc>
          <w:tcPr>
            <w:tcW w:type="dxa" w:w="14683"/>
            <w:gridSpan w:val="19"/>
            <w:tcBorders>
              <w:top w:color="000000" w:sz="4" w:val="single"/>
              <w:left w:color="000000" w:sz="4" w:val="single"/>
              <w:bottom w:color="000000" w:sz="4" w:val="single"/>
              <w:right w:color="000000" w:sz="4" w:val="single"/>
            </w:tcBorders>
            <w:shd w:fill="FFFFFF" w:val="clear"/>
            <w:vAlign w:val="center"/>
          </w:tcPr>
          <w:p w14:paraId="11050000">
            <w:pPr>
              <w:ind/>
              <w:jc w:val="center"/>
              <w:rPr>
                <w:rFonts w:ascii="Times New Roman" w:hAnsi="Times New Roman"/>
                <w:b w:val="1"/>
                <w:sz w:val="28"/>
              </w:rPr>
            </w:pPr>
            <w:r>
              <w:rPr>
                <w:rFonts w:ascii="Times New Roman" w:hAnsi="Times New Roman"/>
                <w:b w:val="1"/>
                <w:sz w:val="28"/>
              </w:rPr>
              <w:t>2.5 Стимулирование новых предпринимательских инициатив за счет проведения образовательных мероприятий</w:t>
            </w:r>
          </w:p>
        </w:tc>
      </w:tr>
      <w:tr>
        <w:tc>
          <w:tcPr>
            <w:tcW w:type="dxa" w:w="905"/>
            <w:tcBorders>
              <w:top w:color="000000" w:sz="4" w:val="single"/>
              <w:left w:color="000000" w:sz="4" w:val="single"/>
              <w:bottom w:color="000000" w:sz="4" w:val="single"/>
              <w:right w:color="000000" w:sz="4" w:val="single"/>
            </w:tcBorders>
            <w:shd w:fill="FFFFFF" w:val="clear"/>
          </w:tcPr>
          <w:p w14:paraId="12050000">
            <w:pPr>
              <w:ind/>
              <w:contextualSpacing w:val="1"/>
              <w:jc w:val="center"/>
              <w:rPr>
                <w:rFonts w:ascii="Times New Roman" w:hAnsi="Times New Roman"/>
                <w:sz w:val="28"/>
              </w:rPr>
            </w:pPr>
            <w:r>
              <w:rPr>
                <w:rFonts w:ascii="Times New Roman" w:hAnsi="Times New Roman"/>
                <w:sz w:val="28"/>
              </w:rPr>
              <w:t>2.5.1</w:t>
            </w:r>
          </w:p>
        </w:tc>
        <w:tc>
          <w:tcPr>
            <w:tcW w:type="dxa" w:w="4502"/>
            <w:gridSpan w:val="2"/>
            <w:tcBorders>
              <w:top w:color="000000" w:sz="4" w:val="single"/>
              <w:left w:color="000000" w:sz="4" w:val="single"/>
              <w:bottom w:color="000000" w:sz="4" w:val="single"/>
              <w:right w:color="000000" w:sz="4" w:val="single"/>
            </w:tcBorders>
            <w:shd w:fill="FFFFFF" w:val="clear"/>
          </w:tcPr>
          <w:p w14:paraId="13050000">
            <w:pPr>
              <w:keepNext w:val="1"/>
              <w:keepLines w:val="1"/>
              <w:ind/>
              <w:jc w:val="both"/>
              <w:rPr>
                <w:rFonts w:ascii="Times New Roman" w:hAnsi="Times New Roman"/>
                <w:sz w:val="28"/>
              </w:rPr>
            </w:pPr>
            <w:r>
              <w:rPr>
                <w:rFonts w:ascii="Times New Roman" w:hAnsi="Times New Roman"/>
                <w:sz w:val="28"/>
              </w:rPr>
              <w:t>Организация мероприятий, направленных на вовлечение молодежи в предпринимательскую деятельность</w:t>
            </w:r>
          </w:p>
        </w:tc>
        <w:tc>
          <w:tcPr>
            <w:tcW w:type="dxa" w:w="3458"/>
            <w:gridSpan w:val="2"/>
            <w:tcBorders>
              <w:top w:color="000000" w:sz="4" w:val="single"/>
              <w:left w:color="000000" w:sz="4" w:val="single"/>
              <w:bottom w:color="000000" w:sz="4" w:val="single"/>
              <w:right w:color="000000" w:sz="4" w:val="single"/>
            </w:tcBorders>
            <w:shd w:fill="FFFFFF" w:val="clear"/>
          </w:tcPr>
          <w:p w14:paraId="14050000">
            <w:pPr>
              <w:ind/>
              <w:contextualSpacing w:val="1"/>
              <w:rPr>
                <w:rFonts w:ascii="Times New Roman" w:hAnsi="Times New Roman"/>
                <w:sz w:val="28"/>
              </w:rPr>
            </w:pPr>
            <w:r>
              <w:rPr>
                <w:rFonts w:ascii="Times New Roman" w:hAnsi="Times New Roman"/>
                <w:sz w:val="28"/>
              </w:rPr>
              <w:t>привлечение внимания молодых людей к предпринимательской деятельности; повышение уровня знаний молодых людей о ведении собственного дела, повышение грамотности в вопросах ведения бизнеса; развитие предпринимательской инициативы; рост числа начинающих предпринимателей; содействие развитию стартующего бизнеса</w:t>
            </w:r>
          </w:p>
        </w:tc>
        <w:tc>
          <w:tcPr>
            <w:tcW w:type="dxa" w:w="2740"/>
            <w:gridSpan w:val="5"/>
            <w:tcBorders>
              <w:top w:color="000000" w:sz="4" w:val="single"/>
              <w:left w:color="000000" w:sz="4" w:val="single"/>
              <w:bottom w:color="000000" w:sz="4" w:val="single"/>
              <w:right w:color="000000" w:sz="4" w:val="single"/>
            </w:tcBorders>
            <w:shd w:fill="FFFFFF" w:val="clear"/>
          </w:tcPr>
          <w:p w14:paraId="15050000">
            <w:pPr>
              <w:rPr>
                <w:rFonts w:ascii="Times New Roman" w:hAnsi="Times New Roman"/>
                <w:sz w:val="28"/>
              </w:rPr>
            </w:pPr>
            <w:r>
              <w:rPr>
                <w:rFonts w:ascii="Times New Roman" w:hAnsi="Times New Roman"/>
                <w:sz w:val="28"/>
              </w:rPr>
              <w:t>Отдел экономического развития Администрации города Волгодонска</w:t>
            </w:r>
          </w:p>
          <w:p w14:paraId="16050000">
            <w:pPr>
              <w:ind/>
              <w:contextualSpacing w:val="1"/>
              <w:jc w:val="both"/>
              <w:rPr>
                <w:rFonts w:ascii="Times New Roman" w:hAnsi="Times New Roman"/>
                <w:i w:val="1"/>
                <w:sz w:val="28"/>
              </w:rPr>
            </w:pPr>
          </w:p>
        </w:tc>
        <w:tc>
          <w:tcPr>
            <w:tcW w:type="dxa" w:w="1399"/>
            <w:gridSpan w:val="5"/>
            <w:tcBorders>
              <w:top w:color="000000" w:sz="4" w:val="single"/>
              <w:left w:color="000000" w:sz="4" w:val="single"/>
              <w:bottom w:color="000000" w:sz="4" w:val="single"/>
              <w:right w:color="000000" w:sz="4" w:val="single"/>
            </w:tcBorders>
            <w:shd w:fill="FFFFFF" w:val="clear"/>
          </w:tcPr>
          <w:p w14:paraId="17050000">
            <w:pPr>
              <w:ind w:firstLine="33" w:left="0"/>
              <w:contextualSpacing w:val="1"/>
              <w:jc w:val="center"/>
              <w:rPr>
                <w:rFonts w:ascii="Times New Roman" w:hAnsi="Times New Roman"/>
                <w:sz w:val="28"/>
              </w:rPr>
            </w:pPr>
            <w:r>
              <w:rPr>
                <w:rFonts w:ascii="Times New Roman" w:hAnsi="Times New Roman"/>
                <w:sz w:val="28"/>
              </w:rPr>
              <w:t>ежегодно</w:t>
            </w:r>
          </w:p>
        </w:tc>
        <w:tc>
          <w:tcPr>
            <w:tcW w:type="dxa" w:w="1679"/>
            <w:gridSpan w:val="4"/>
            <w:tcBorders>
              <w:top w:color="000000" w:sz="4" w:val="single"/>
              <w:left w:color="000000" w:sz="4" w:val="single"/>
              <w:bottom w:color="000000" w:sz="4" w:val="single"/>
              <w:right w:color="000000" w:sz="4" w:val="single"/>
            </w:tcBorders>
            <w:shd w:fill="FFFFFF" w:val="clear"/>
          </w:tcPr>
          <w:p w14:paraId="18050000">
            <w:pPr>
              <w:ind w:firstLine="33" w:left="0"/>
              <w:contextualSpacing w:val="1"/>
              <w:rPr>
                <w:rFonts w:ascii="Times New Roman" w:hAnsi="Times New Roman"/>
                <w:sz w:val="28"/>
              </w:rPr>
            </w:pPr>
            <w:r>
              <w:rPr>
                <w:rFonts w:ascii="Times New Roman" w:hAnsi="Times New Roman"/>
                <w:sz w:val="28"/>
              </w:rPr>
              <w:t>Проведены мероприятия, направленные на вовлечение молодежи в предпринимательскую деятельность (конкурс «Лидеры Дона»)</w:t>
            </w:r>
          </w:p>
        </w:tc>
      </w:tr>
      <w:tr>
        <w:tc>
          <w:tcPr>
            <w:tcW w:type="dxa" w:w="905"/>
            <w:tcBorders>
              <w:top w:color="000000" w:sz="4" w:val="single"/>
              <w:left w:color="000000" w:sz="4" w:val="single"/>
              <w:bottom w:color="000000" w:sz="4" w:val="single"/>
              <w:right w:color="000000" w:sz="4" w:val="single"/>
            </w:tcBorders>
            <w:shd w:fill="FFFFFF" w:val="clear"/>
          </w:tcPr>
          <w:p w14:paraId="19050000">
            <w:pPr>
              <w:ind/>
              <w:contextualSpacing w:val="1"/>
              <w:jc w:val="center"/>
              <w:rPr>
                <w:rFonts w:ascii="Times New Roman" w:hAnsi="Times New Roman"/>
                <w:sz w:val="28"/>
              </w:rPr>
            </w:pPr>
            <w:r>
              <w:rPr>
                <w:rFonts w:ascii="Times New Roman" w:hAnsi="Times New Roman"/>
                <w:sz w:val="28"/>
              </w:rPr>
              <w:t>2.5.2</w:t>
            </w:r>
          </w:p>
        </w:tc>
        <w:tc>
          <w:tcPr>
            <w:tcW w:type="dxa" w:w="4502"/>
            <w:gridSpan w:val="2"/>
            <w:tcBorders>
              <w:top w:color="000000" w:sz="4" w:val="single"/>
              <w:left w:color="000000" w:sz="4" w:val="single"/>
              <w:bottom w:color="000000" w:sz="4" w:val="single"/>
              <w:right w:color="000000" w:sz="4" w:val="single"/>
            </w:tcBorders>
            <w:shd w:fill="FFFFFF" w:val="clear"/>
          </w:tcPr>
          <w:p w14:paraId="1A050000">
            <w:pPr>
              <w:keepNext w:val="1"/>
              <w:keepLines w:val="1"/>
              <w:ind/>
              <w:jc w:val="both"/>
              <w:rPr>
                <w:rFonts w:ascii="Times New Roman" w:hAnsi="Times New Roman"/>
                <w:sz w:val="28"/>
              </w:rPr>
            </w:pPr>
            <w:r>
              <w:rPr>
                <w:rFonts w:ascii="Times New Roman" w:hAnsi="Times New Roman"/>
                <w:sz w:val="28"/>
              </w:rPr>
              <w:t xml:space="preserve">Организация и проведение обучающих семинаров, </w:t>
            </w:r>
          </w:p>
          <w:p w14:paraId="1B050000">
            <w:pPr>
              <w:keepNext w:val="1"/>
              <w:keepLines w:val="1"/>
              <w:ind/>
              <w:jc w:val="both"/>
              <w:rPr>
                <w:rFonts w:ascii="Times New Roman" w:hAnsi="Times New Roman"/>
                <w:i w:val="1"/>
                <w:sz w:val="28"/>
              </w:rPr>
            </w:pPr>
            <w:r>
              <w:rPr>
                <w:rFonts w:ascii="Times New Roman" w:hAnsi="Times New Roman"/>
                <w:sz w:val="28"/>
              </w:rPr>
              <w:t>мастер-классов по вопросам развития малого и среднего предпринимательства</w:t>
            </w:r>
          </w:p>
        </w:tc>
        <w:tc>
          <w:tcPr>
            <w:tcW w:type="dxa" w:w="3458"/>
            <w:gridSpan w:val="2"/>
            <w:tcBorders>
              <w:top w:color="000000" w:sz="4" w:val="single"/>
              <w:left w:color="000000" w:sz="4" w:val="single"/>
              <w:bottom w:color="000000" w:sz="4" w:val="single"/>
              <w:right w:color="000000" w:sz="4" w:val="single"/>
            </w:tcBorders>
            <w:shd w:fill="FFFFFF" w:val="clear"/>
          </w:tcPr>
          <w:p w14:paraId="1C050000">
            <w:pPr>
              <w:ind/>
              <w:contextualSpacing w:val="1"/>
              <w:rPr>
                <w:rFonts w:ascii="Times New Roman" w:hAnsi="Times New Roman"/>
                <w:i w:val="1"/>
                <w:sz w:val="28"/>
              </w:rPr>
            </w:pPr>
            <w:r>
              <w:rPr>
                <w:rFonts w:ascii="Times New Roman" w:hAnsi="Times New Roman"/>
                <w:sz w:val="28"/>
              </w:rPr>
              <w:t>подготовка профессиональных кадров для сферы малого и среднего бизнеса, повышение профессионализма руководителей и специалистов организаций инфраструктуры поддержки субъектов малого и среднего бизнеса; повышение конкурентоспособности за счет повышения компетентности предпринимателей</w:t>
            </w:r>
          </w:p>
        </w:tc>
        <w:tc>
          <w:tcPr>
            <w:tcW w:type="dxa" w:w="2740"/>
            <w:gridSpan w:val="5"/>
            <w:tcBorders>
              <w:top w:color="000000" w:sz="4" w:val="single"/>
              <w:left w:color="000000" w:sz="4" w:val="single"/>
              <w:bottom w:color="000000" w:sz="4" w:val="single"/>
              <w:right w:color="000000" w:sz="4" w:val="single"/>
            </w:tcBorders>
            <w:shd w:fill="FFFFFF" w:val="clear"/>
          </w:tcPr>
          <w:p w14:paraId="1D050000">
            <w:pPr>
              <w:rPr>
                <w:rFonts w:ascii="Times New Roman" w:hAnsi="Times New Roman"/>
                <w:sz w:val="28"/>
              </w:rPr>
            </w:pPr>
            <w:r>
              <w:rPr>
                <w:rFonts w:ascii="Times New Roman" w:hAnsi="Times New Roman"/>
                <w:sz w:val="28"/>
              </w:rPr>
              <w:t>Отдел экономического развития Администрации города Волгодонска</w:t>
            </w:r>
          </w:p>
          <w:p w14:paraId="1E050000">
            <w:pPr>
              <w:ind/>
              <w:contextualSpacing w:val="1"/>
              <w:jc w:val="both"/>
              <w:rPr>
                <w:rFonts w:ascii="Times New Roman" w:hAnsi="Times New Roman"/>
                <w:i w:val="1"/>
                <w:sz w:val="28"/>
              </w:rPr>
            </w:pPr>
          </w:p>
        </w:tc>
        <w:tc>
          <w:tcPr>
            <w:tcW w:type="dxa" w:w="1399"/>
            <w:gridSpan w:val="5"/>
            <w:tcBorders>
              <w:top w:color="000000" w:sz="4" w:val="single"/>
              <w:left w:color="000000" w:sz="4" w:val="single"/>
              <w:bottom w:color="000000" w:sz="4" w:val="single"/>
              <w:right w:color="000000" w:sz="4" w:val="single"/>
            </w:tcBorders>
            <w:shd w:fill="FFFFFF" w:val="clear"/>
          </w:tcPr>
          <w:p w14:paraId="1F050000">
            <w:pPr>
              <w:ind/>
              <w:contextualSpacing w:val="1"/>
              <w:jc w:val="center"/>
              <w:rPr>
                <w:rFonts w:ascii="Times New Roman" w:hAnsi="Times New Roman"/>
                <w:i w:val="1"/>
                <w:sz w:val="28"/>
              </w:rPr>
            </w:pPr>
            <w:r>
              <w:rPr>
                <w:rFonts w:ascii="Times New Roman" w:hAnsi="Times New Roman"/>
                <w:sz w:val="28"/>
              </w:rPr>
              <w:t>ежегодно</w:t>
            </w:r>
          </w:p>
        </w:tc>
        <w:tc>
          <w:tcPr>
            <w:tcW w:type="dxa" w:w="1679"/>
            <w:gridSpan w:val="4"/>
            <w:tcBorders>
              <w:top w:color="000000" w:sz="4" w:val="single"/>
              <w:left w:color="000000" w:sz="4" w:val="single"/>
              <w:bottom w:color="000000" w:sz="4" w:val="single"/>
              <w:right w:color="000000" w:sz="4" w:val="single"/>
            </w:tcBorders>
            <w:shd w:fill="FFFFFF" w:val="clear"/>
          </w:tcPr>
          <w:p w14:paraId="20050000">
            <w:pPr>
              <w:ind/>
              <w:contextualSpacing w:val="1"/>
              <w:rPr>
                <w:rFonts w:ascii="Times New Roman" w:hAnsi="Times New Roman"/>
                <w:sz w:val="28"/>
              </w:rPr>
            </w:pPr>
            <w:r>
              <w:rPr>
                <w:rFonts w:ascii="Times New Roman" w:hAnsi="Times New Roman"/>
                <w:sz w:val="28"/>
              </w:rPr>
              <w:t xml:space="preserve">Проведено 10 мероприятий по вопросам развития малого и среднего предприятий.  В телефонном режиме и в режиме видеоконференцсвязи </w:t>
            </w:r>
          </w:p>
          <w:p w14:paraId="21050000">
            <w:pPr>
              <w:ind/>
              <w:contextualSpacing w:val="1"/>
              <w:rPr>
                <w:rFonts w:ascii="Times New Roman" w:hAnsi="Times New Roman"/>
                <w:sz w:val="28"/>
              </w:rPr>
            </w:pPr>
            <w:r>
              <w:rPr>
                <w:rFonts w:ascii="Times New Roman" w:hAnsi="Times New Roman"/>
                <w:sz w:val="28"/>
              </w:rPr>
              <w:t>оказывается консультационная помощь.</w:t>
            </w:r>
          </w:p>
        </w:tc>
      </w:tr>
    </w:tbl>
    <w:p w14:paraId="22050000">
      <w:pPr>
        <w:rPr>
          <w:rFonts w:ascii="Times New Roman" w:hAnsi="Times New Roman"/>
          <w:sz w:val="28"/>
        </w:rPr>
      </w:pPr>
    </w:p>
    <w:p w14:paraId="23050000">
      <w:pPr>
        <w:rPr>
          <w:rFonts w:ascii="Times New Roman" w:hAnsi="Times New Roman"/>
          <w:sz w:val="28"/>
        </w:rPr>
      </w:pPr>
    </w:p>
    <w:p w14:paraId="24050000">
      <w:pPr>
        <w:rPr>
          <w:rFonts w:ascii="Times New Roman" w:hAnsi="Times New Roman"/>
          <w:sz w:val="28"/>
        </w:rPr>
      </w:pPr>
    </w:p>
    <w:p w14:paraId="25050000">
      <w:pPr>
        <w:rPr>
          <w:rFonts w:ascii="Times New Roman" w:hAnsi="Times New Roman"/>
          <w:sz w:val="28"/>
        </w:rPr>
      </w:pPr>
    </w:p>
    <w:p w14:paraId="26050000">
      <w:pPr>
        <w:rPr>
          <w:rFonts w:ascii="Times New Roman" w:hAnsi="Times New Roman"/>
          <w:sz w:val="28"/>
        </w:rPr>
      </w:pPr>
    </w:p>
    <w:p w14:paraId="27050000">
      <w:pPr>
        <w:rPr>
          <w:rFonts w:ascii="Times New Roman" w:hAnsi="Times New Roman"/>
          <w:sz w:val="28"/>
        </w:rPr>
      </w:pPr>
    </w:p>
    <w:p w14:paraId="28050000">
      <w:pPr>
        <w:ind/>
        <w:jc w:val="center"/>
        <w:rPr>
          <w:rFonts w:ascii="Times New Roman" w:hAnsi="Times New Roman"/>
          <w:b w:val="1"/>
          <w:sz w:val="28"/>
        </w:rPr>
      </w:pPr>
      <w:r>
        <w:rPr>
          <w:rFonts w:ascii="Times New Roman" w:hAnsi="Times New Roman"/>
          <w:b w:val="1"/>
          <w:sz w:val="28"/>
        </w:rPr>
        <w:t>ПЕРЕЧЕНЬ</w:t>
      </w:r>
    </w:p>
    <w:p w14:paraId="29050000">
      <w:pPr>
        <w:ind/>
        <w:jc w:val="center"/>
        <w:rPr>
          <w:rFonts w:ascii="Times New Roman" w:hAnsi="Times New Roman"/>
          <w:b w:val="1"/>
          <w:sz w:val="28"/>
        </w:rPr>
      </w:pPr>
      <w:r>
        <w:rPr>
          <w:rFonts w:ascii="Times New Roman" w:hAnsi="Times New Roman"/>
          <w:b w:val="1"/>
          <w:sz w:val="28"/>
        </w:rPr>
        <w:t xml:space="preserve">ключевых показателей развития конкуренции в г.Волгодонске  </w:t>
      </w:r>
    </w:p>
    <w:p w14:paraId="2A050000">
      <w:pPr>
        <w:ind/>
        <w:jc w:val="center"/>
        <w:rPr>
          <w:rFonts w:ascii="Times New Roman" w:hAnsi="Times New Roman"/>
          <w:sz w:val="28"/>
        </w:rPr>
      </w:pPr>
      <w:r>
        <w:rPr>
          <w:rFonts w:ascii="Times New Roman" w:hAnsi="Times New Roman"/>
          <w:b w:val="1"/>
          <w:sz w:val="28"/>
        </w:rPr>
        <w:t>(доля присутствия в отраслях (сферах) экономики частного бизнеса к 1 января 2022 года)</w:t>
      </w:r>
    </w:p>
    <w:tbl>
      <w:tblPr>
        <w:tblStyle w:val="Style_4"/>
        <w:tblInd w:type="dxa" w:w="39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2"/>
        <w:gridCol w:w="2698"/>
        <w:gridCol w:w="6379"/>
        <w:gridCol w:w="1984"/>
        <w:gridCol w:w="1843"/>
        <w:gridCol w:w="1701"/>
      </w:tblGrid>
      <w:tr>
        <w:trPr>
          <w:trHeight w:hRule="atLeast" w:val="416"/>
        </w:trPr>
        <w:tc>
          <w:tcPr>
            <w:tcW w:type="dxa" w:w="562"/>
            <w:vMerge w:val="restart"/>
            <w:tcBorders>
              <w:top w:color="000000" w:sz="4" w:val="single"/>
              <w:left w:color="000000" w:sz="4" w:val="single"/>
              <w:bottom w:color="000000" w:sz="4" w:val="single"/>
              <w:right w:color="000000" w:sz="4" w:val="single"/>
            </w:tcBorders>
          </w:tcPr>
          <w:p w14:paraId="2B050000">
            <w:pPr>
              <w:ind/>
              <w:jc w:val="center"/>
              <w:rPr>
                <w:rFonts w:ascii="Times New Roman" w:hAnsi="Times New Roman"/>
                <w:sz w:val="28"/>
              </w:rPr>
            </w:pPr>
            <w:r>
              <w:rPr>
                <w:rFonts w:ascii="Times New Roman" w:hAnsi="Times New Roman"/>
                <w:sz w:val="28"/>
              </w:rPr>
              <w:t xml:space="preserve"> п/п</w:t>
            </w:r>
          </w:p>
        </w:tc>
        <w:tc>
          <w:tcPr>
            <w:tcW w:type="dxa" w:w="2698"/>
            <w:vMerge w:val="restart"/>
            <w:tcBorders>
              <w:top w:color="000000" w:sz="4" w:val="single"/>
              <w:left w:color="000000" w:sz="4" w:val="single"/>
              <w:bottom w:color="000000" w:sz="4" w:val="single"/>
              <w:right w:color="000000" w:sz="4" w:val="single"/>
            </w:tcBorders>
            <w:shd w:fill="auto" w:val="clear"/>
            <w:vAlign w:val="center"/>
          </w:tcPr>
          <w:p w14:paraId="2C050000">
            <w:pPr>
              <w:ind/>
              <w:jc w:val="center"/>
              <w:rPr>
                <w:rFonts w:ascii="Times New Roman" w:hAnsi="Times New Roman"/>
                <w:sz w:val="28"/>
              </w:rPr>
            </w:pPr>
            <w:r>
              <w:rPr>
                <w:rFonts w:ascii="Times New Roman" w:hAnsi="Times New Roman"/>
                <w:sz w:val="28"/>
              </w:rPr>
              <w:t>Наименование рынков</w:t>
            </w:r>
          </w:p>
          <w:p w14:paraId="2D050000">
            <w:pPr>
              <w:ind w:firstLine="0" w:left="142"/>
              <w:jc w:val="center"/>
              <w:rPr>
                <w:rFonts w:ascii="Times New Roman" w:hAnsi="Times New Roman"/>
                <w:sz w:val="28"/>
              </w:rPr>
            </w:pPr>
          </w:p>
        </w:tc>
        <w:tc>
          <w:tcPr>
            <w:tcW w:type="dxa" w:w="6379"/>
            <w:vMerge w:val="restart"/>
            <w:tcBorders>
              <w:top w:color="000000" w:sz="4" w:val="single"/>
              <w:left w:color="000000" w:sz="4" w:val="single"/>
              <w:bottom w:color="000000" w:sz="4" w:val="single"/>
              <w:right w:color="000000" w:sz="4" w:val="single"/>
            </w:tcBorders>
            <w:shd w:fill="auto" w:val="clear"/>
            <w:vAlign w:val="center"/>
          </w:tcPr>
          <w:p w14:paraId="2E050000">
            <w:pPr>
              <w:ind/>
              <w:jc w:val="center"/>
              <w:rPr>
                <w:rFonts w:ascii="Times New Roman" w:hAnsi="Times New Roman"/>
                <w:color w:val="000000"/>
                <w:sz w:val="28"/>
              </w:rPr>
            </w:pPr>
            <w:r>
              <w:rPr>
                <w:rFonts w:ascii="Times New Roman" w:hAnsi="Times New Roman"/>
                <w:color w:val="000000"/>
                <w:sz w:val="28"/>
              </w:rPr>
              <w:t>Наименование показателя</w:t>
            </w:r>
          </w:p>
        </w:tc>
        <w:tc>
          <w:tcPr>
            <w:tcW w:type="dxa" w:w="5528"/>
            <w:gridSpan w:val="3"/>
            <w:tcBorders>
              <w:top w:color="000000" w:sz="4" w:val="single"/>
              <w:left w:color="000000" w:sz="4" w:val="single"/>
              <w:bottom w:color="000000" w:sz="4" w:val="single"/>
              <w:right w:color="000000" w:sz="4" w:val="single"/>
            </w:tcBorders>
          </w:tcPr>
          <w:p w14:paraId="2F050000">
            <w:pPr>
              <w:ind/>
              <w:jc w:val="center"/>
              <w:rPr>
                <w:rFonts w:ascii="Times New Roman" w:hAnsi="Times New Roman"/>
                <w:sz w:val="28"/>
              </w:rPr>
            </w:pPr>
            <w:r>
              <w:rPr>
                <w:rFonts w:ascii="Times New Roman" w:hAnsi="Times New Roman"/>
                <w:sz w:val="28"/>
              </w:rPr>
              <w:t>Значение показателя</w:t>
            </w:r>
          </w:p>
        </w:tc>
      </w:tr>
      <w:tr>
        <w:tc>
          <w:tcPr>
            <w:tcW w:type="dxa" w:w="562"/>
            <w:gridSpan w:val="1"/>
            <w:vMerge w:val="continue"/>
            <w:tcBorders>
              <w:top w:color="000000" w:sz="4" w:val="single"/>
              <w:left w:color="000000" w:sz="4" w:val="single"/>
              <w:bottom w:color="000000" w:sz="4" w:val="single"/>
              <w:right w:color="000000" w:sz="4" w:val="single"/>
            </w:tcBorders>
          </w:tcPr>
          <w:p/>
        </w:tc>
        <w:tc>
          <w:tcPr>
            <w:tcW w:type="dxa" w:w="269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637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984"/>
            <w:tcBorders>
              <w:top w:color="000000" w:sz="4" w:val="single"/>
              <w:left w:color="000000" w:sz="4" w:val="single"/>
              <w:bottom w:color="000000" w:sz="4" w:val="single"/>
              <w:right w:color="000000" w:sz="4" w:val="single"/>
            </w:tcBorders>
          </w:tcPr>
          <w:p w14:paraId="30050000">
            <w:pPr>
              <w:ind/>
              <w:jc w:val="center"/>
              <w:rPr>
                <w:rFonts w:ascii="Times New Roman" w:hAnsi="Times New Roman"/>
                <w:sz w:val="28"/>
              </w:rPr>
            </w:pPr>
            <w:r>
              <w:rPr>
                <w:rFonts w:ascii="Times New Roman" w:hAnsi="Times New Roman"/>
                <w:sz w:val="28"/>
              </w:rPr>
              <w:t>Факт 2020</w:t>
            </w:r>
          </w:p>
        </w:tc>
        <w:tc>
          <w:tcPr>
            <w:tcW w:type="dxa" w:w="1843"/>
            <w:tcBorders>
              <w:top w:color="000000" w:sz="4" w:val="single"/>
              <w:left w:color="000000" w:sz="4" w:val="single"/>
              <w:bottom w:color="000000" w:sz="4" w:val="single"/>
              <w:right w:color="000000" w:sz="4" w:val="single"/>
            </w:tcBorders>
            <w:shd w:fill="auto" w:val="clear"/>
          </w:tcPr>
          <w:p w14:paraId="31050000">
            <w:pPr>
              <w:ind/>
              <w:jc w:val="center"/>
              <w:rPr>
                <w:rFonts w:ascii="Times New Roman" w:hAnsi="Times New Roman"/>
                <w:color w:val="000000"/>
                <w:sz w:val="28"/>
              </w:rPr>
            </w:pPr>
            <w:r>
              <w:rPr>
                <w:rFonts w:ascii="Times New Roman" w:hAnsi="Times New Roman"/>
                <w:sz w:val="28"/>
              </w:rPr>
              <w:t>План 2021 г.</w:t>
            </w:r>
          </w:p>
        </w:tc>
        <w:tc>
          <w:tcPr>
            <w:tcW w:type="dxa" w:w="1701"/>
            <w:tcBorders>
              <w:top w:color="000000" w:sz="4" w:val="single"/>
              <w:left w:color="000000" w:sz="4" w:val="single"/>
              <w:bottom w:color="000000" w:sz="4" w:val="single"/>
              <w:right w:color="000000" w:sz="4" w:val="single"/>
            </w:tcBorders>
            <w:shd w:fill="auto" w:val="clear"/>
          </w:tcPr>
          <w:p w14:paraId="32050000">
            <w:pPr>
              <w:ind/>
              <w:jc w:val="center"/>
              <w:rPr>
                <w:rFonts w:ascii="Times New Roman" w:hAnsi="Times New Roman"/>
                <w:color w:val="000000"/>
                <w:sz w:val="28"/>
              </w:rPr>
            </w:pPr>
            <w:r>
              <w:rPr>
                <w:rFonts w:ascii="Times New Roman" w:hAnsi="Times New Roman"/>
                <w:sz w:val="28"/>
              </w:rPr>
              <w:t xml:space="preserve">Факт </w:t>
            </w:r>
            <w:r>
              <w:rPr>
                <w:rFonts w:ascii="Times New Roman" w:hAnsi="Times New Roman"/>
                <w:sz w:val="28"/>
              </w:rPr>
              <w:t xml:space="preserve">  </w:t>
            </w:r>
            <w:r>
              <w:rPr>
                <w:rFonts w:ascii="Times New Roman" w:hAnsi="Times New Roman"/>
                <w:sz w:val="28"/>
              </w:rPr>
              <w:t>202</w:t>
            </w:r>
            <w:r>
              <w:rPr>
                <w:rFonts w:ascii="Times New Roman" w:hAnsi="Times New Roman"/>
                <w:sz w:val="28"/>
              </w:rPr>
              <w:t>1</w:t>
            </w:r>
            <w:r>
              <w:rPr>
                <w:rFonts w:ascii="Times New Roman" w:hAnsi="Times New Roman"/>
                <w:sz w:val="28"/>
              </w:rPr>
              <w:t xml:space="preserve"> г.</w:t>
            </w:r>
          </w:p>
        </w:tc>
      </w:tr>
      <w:tr>
        <w:tc>
          <w:tcPr>
            <w:tcW w:type="dxa" w:w="562"/>
            <w:tcBorders>
              <w:top w:color="000000" w:sz="4" w:val="single"/>
              <w:left w:color="000000" w:sz="4" w:val="single"/>
              <w:bottom w:color="000000" w:sz="4" w:val="single"/>
              <w:right w:color="000000" w:sz="4" w:val="single"/>
            </w:tcBorders>
          </w:tcPr>
          <w:p w14:paraId="33050000">
            <w:pPr>
              <w:ind/>
              <w:jc w:val="center"/>
              <w:rPr>
                <w:rFonts w:ascii="Times New Roman" w:hAnsi="Times New Roman"/>
                <w:sz w:val="28"/>
              </w:rPr>
            </w:pPr>
            <w:r>
              <w:rPr>
                <w:rFonts w:ascii="Times New Roman" w:hAnsi="Times New Roman"/>
                <w:sz w:val="28"/>
              </w:rPr>
              <w:t>1.</w:t>
            </w:r>
          </w:p>
        </w:tc>
        <w:tc>
          <w:tcPr>
            <w:tcW w:type="dxa" w:w="2698"/>
            <w:tcBorders>
              <w:top w:color="000000" w:sz="4" w:val="single"/>
              <w:left w:color="000000" w:sz="4" w:val="single"/>
              <w:bottom w:color="000000" w:sz="4" w:val="single"/>
              <w:right w:color="000000" w:sz="4" w:val="single"/>
            </w:tcBorders>
            <w:shd w:fill="auto" w:val="clear"/>
          </w:tcPr>
          <w:p w14:paraId="34050000">
            <w:pPr>
              <w:ind/>
              <w:jc w:val="both"/>
              <w:rPr>
                <w:rFonts w:ascii="Times New Roman" w:hAnsi="Times New Roman"/>
                <w:sz w:val="28"/>
              </w:rPr>
            </w:pPr>
            <w:r>
              <w:rPr>
                <w:rFonts w:ascii="Times New Roman" w:hAnsi="Times New Roman"/>
                <w:sz w:val="28"/>
              </w:rPr>
              <w:t>Рынок медицинских услуг</w:t>
            </w:r>
          </w:p>
        </w:tc>
        <w:tc>
          <w:tcPr>
            <w:tcW w:type="dxa" w:w="6379"/>
            <w:tcBorders>
              <w:top w:color="000000" w:sz="4" w:val="single"/>
              <w:left w:color="000000" w:sz="4" w:val="single"/>
              <w:bottom w:color="000000" w:sz="4" w:val="single"/>
              <w:right w:color="000000" w:sz="4" w:val="single"/>
            </w:tcBorders>
          </w:tcPr>
          <w:p w14:paraId="35050000">
            <w:pPr>
              <w:rPr>
                <w:rFonts w:ascii="Times New Roman" w:hAnsi="Times New Roman"/>
                <w:color w:val="000000"/>
                <w:sz w:val="28"/>
              </w:rPr>
            </w:pPr>
            <w:r>
              <w:rPr>
                <w:rFonts w:ascii="Times New Roman" w:hAnsi="Times New Roman"/>
                <w:color w:val="000000"/>
                <w:sz w:val="28"/>
              </w:rPr>
              <w:t xml:space="preserve">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процентов </w:t>
            </w:r>
          </w:p>
        </w:tc>
        <w:tc>
          <w:tcPr>
            <w:tcW w:type="dxa" w:w="1984"/>
            <w:tcBorders>
              <w:top w:color="000000" w:sz="4" w:val="single"/>
              <w:left w:color="000000" w:sz="4" w:val="single"/>
              <w:bottom w:color="000000" w:sz="4" w:val="single"/>
              <w:right w:color="000000" w:sz="4" w:val="single"/>
            </w:tcBorders>
          </w:tcPr>
          <w:p w14:paraId="36050000">
            <w:pPr>
              <w:ind/>
              <w:jc w:val="center"/>
              <w:rPr>
                <w:rFonts w:ascii="Times New Roman" w:hAnsi="Times New Roman"/>
                <w:color w:val="000000"/>
                <w:sz w:val="28"/>
              </w:rPr>
            </w:pPr>
            <w:r>
              <w:rPr>
                <w:rFonts w:ascii="Times New Roman" w:hAnsi="Times New Roman"/>
                <w:color w:val="000000"/>
                <w:sz w:val="28"/>
              </w:rPr>
              <w:t>7,0</w:t>
            </w:r>
          </w:p>
        </w:tc>
        <w:tc>
          <w:tcPr>
            <w:tcW w:type="dxa" w:w="1843"/>
            <w:tcBorders>
              <w:top w:color="000000" w:sz="4" w:val="single"/>
              <w:left w:color="000000" w:sz="4" w:val="single"/>
              <w:bottom w:color="000000" w:sz="4" w:val="single"/>
              <w:right w:color="000000" w:sz="4" w:val="single"/>
            </w:tcBorders>
            <w:shd w:fill="auto" w:val="clear"/>
          </w:tcPr>
          <w:p w14:paraId="37050000">
            <w:pPr>
              <w:ind/>
              <w:jc w:val="center"/>
              <w:rPr>
                <w:rFonts w:ascii="Times New Roman" w:hAnsi="Times New Roman"/>
                <w:color w:val="000000"/>
                <w:sz w:val="28"/>
              </w:rPr>
            </w:pPr>
            <w:r>
              <w:rPr>
                <w:rFonts w:ascii="Times New Roman" w:hAnsi="Times New Roman"/>
                <w:color w:val="000000"/>
                <w:sz w:val="28"/>
              </w:rPr>
              <w:t>10,0</w:t>
            </w:r>
          </w:p>
        </w:tc>
        <w:tc>
          <w:tcPr>
            <w:tcW w:type="dxa" w:w="1701"/>
            <w:tcBorders>
              <w:top w:color="000000" w:sz="4" w:val="single"/>
              <w:left w:color="000000" w:sz="4" w:val="single"/>
              <w:bottom w:color="000000" w:sz="4" w:val="single"/>
              <w:right w:color="000000" w:sz="4" w:val="single"/>
            </w:tcBorders>
            <w:shd w:fill="auto" w:val="clear"/>
          </w:tcPr>
          <w:p w14:paraId="38050000">
            <w:pPr>
              <w:ind/>
              <w:jc w:val="center"/>
              <w:rPr>
                <w:rFonts w:ascii="Times New Roman" w:hAnsi="Times New Roman"/>
                <w:sz w:val="28"/>
              </w:rPr>
            </w:pPr>
            <w:r>
              <w:rPr>
                <w:rFonts w:ascii="Times New Roman" w:hAnsi="Times New Roman"/>
                <w:sz w:val="28"/>
              </w:rPr>
              <w:t>7,0</w:t>
            </w:r>
          </w:p>
        </w:tc>
      </w:tr>
      <w:tr>
        <w:tc>
          <w:tcPr>
            <w:tcW w:type="dxa" w:w="562"/>
            <w:tcBorders>
              <w:top w:color="000000" w:sz="4" w:val="single"/>
              <w:left w:color="000000" w:sz="4" w:val="single"/>
              <w:bottom w:color="000000" w:sz="4" w:val="single"/>
              <w:right w:color="000000" w:sz="4" w:val="single"/>
            </w:tcBorders>
          </w:tcPr>
          <w:p w14:paraId="39050000">
            <w:pPr>
              <w:ind/>
              <w:jc w:val="center"/>
              <w:rPr>
                <w:rFonts w:ascii="Times New Roman" w:hAnsi="Times New Roman"/>
                <w:sz w:val="28"/>
              </w:rPr>
            </w:pPr>
            <w:r>
              <w:rPr>
                <w:rFonts w:ascii="Times New Roman" w:hAnsi="Times New Roman"/>
                <w:sz w:val="28"/>
              </w:rPr>
              <w:t>2.</w:t>
            </w:r>
          </w:p>
        </w:tc>
        <w:tc>
          <w:tcPr>
            <w:tcW w:type="dxa" w:w="2698"/>
            <w:tcBorders>
              <w:top w:color="000000" w:sz="4" w:val="single"/>
              <w:left w:color="000000" w:sz="4" w:val="single"/>
              <w:bottom w:color="000000" w:sz="4" w:val="single"/>
              <w:right w:color="000000" w:sz="4" w:val="single"/>
            </w:tcBorders>
          </w:tcPr>
          <w:p w14:paraId="3A050000">
            <w:pPr>
              <w:rPr>
                <w:rFonts w:ascii="Times New Roman" w:hAnsi="Times New Roman"/>
                <w:color w:val="000000"/>
                <w:sz w:val="28"/>
              </w:rPr>
            </w:pPr>
            <w:r>
              <w:rPr>
                <w:rFonts w:ascii="Times New Roman" w:hAnsi="Times New Roman"/>
                <w:color w:val="000000"/>
                <w:sz w:val="28"/>
              </w:rPr>
              <w:t xml:space="preserve">Рынок социальных услуг </w:t>
            </w:r>
          </w:p>
        </w:tc>
        <w:tc>
          <w:tcPr>
            <w:tcW w:type="dxa" w:w="6379"/>
            <w:tcBorders>
              <w:top w:color="000000" w:sz="4" w:val="single"/>
              <w:left w:color="000000" w:sz="4" w:val="single"/>
              <w:bottom w:color="000000" w:sz="4" w:val="single"/>
              <w:right w:color="000000" w:sz="4" w:val="single"/>
            </w:tcBorders>
          </w:tcPr>
          <w:p w14:paraId="3B050000">
            <w:pPr>
              <w:rPr>
                <w:rFonts w:ascii="Times New Roman" w:hAnsi="Times New Roman"/>
                <w:color w:val="000000"/>
                <w:sz w:val="28"/>
              </w:rPr>
            </w:pPr>
            <w:r>
              <w:rPr>
                <w:rFonts w:ascii="Times New Roman" w:hAnsi="Times New Roman"/>
                <w:color w:val="000000"/>
                <w:sz w:val="28"/>
              </w:rPr>
              <w:t xml:space="preserve">Доля негосударственных организаций социального обслуживания, предоставляющих социальные услуги, процентов </w:t>
            </w:r>
          </w:p>
        </w:tc>
        <w:tc>
          <w:tcPr>
            <w:tcW w:type="dxa" w:w="1984"/>
            <w:tcBorders>
              <w:top w:color="000000" w:sz="4" w:val="single"/>
              <w:left w:color="000000" w:sz="4" w:val="single"/>
              <w:bottom w:color="000000" w:sz="4" w:val="single"/>
              <w:right w:color="000000" w:sz="4" w:val="single"/>
            </w:tcBorders>
          </w:tcPr>
          <w:p w14:paraId="3C050000">
            <w:pPr>
              <w:ind/>
              <w:jc w:val="center"/>
              <w:rPr>
                <w:rFonts w:ascii="Times New Roman" w:hAnsi="Times New Roman"/>
                <w:color w:val="000000"/>
                <w:sz w:val="28"/>
              </w:rPr>
            </w:pPr>
            <w:r>
              <w:rPr>
                <w:rFonts w:ascii="Times New Roman" w:hAnsi="Times New Roman"/>
                <w:color w:val="000000"/>
                <w:sz w:val="28"/>
              </w:rPr>
              <w:t>10</w:t>
            </w:r>
          </w:p>
        </w:tc>
        <w:tc>
          <w:tcPr>
            <w:tcW w:type="dxa" w:w="1843"/>
            <w:tcBorders>
              <w:top w:color="000000" w:sz="4" w:val="single"/>
              <w:left w:color="000000" w:sz="4" w:val="single"/>
              <w:bottom w:color="000000" w:sz="4" w:val="single"/>
              <w:right w:color="000000" w:sz="4" w:val="single"/>
            </w:tcBorders>
            <w:shd w:fill="auto" w:val="clear"/>
          </w:tcPr>
          <w:p w14:paraId="3D050000">
            <w:pPr>
              <w:ind/>
              <w:jc w:val="center"/>
              <w:rPr>
                <w:rFonts w:ascii="Times New Roman" w:hAnsi="Times New Roman"/>
                <w:color w:val="000000"/>
                <w:sz w:val="28"/>
              </w:rPr>
            </w:pPr>
            <w:r>
              <w:rPr>
                <w:rFonts w:ascii="Times New Roman" w:hAnsi="Times New Roman"/>
                <w:color w:val="000000"/>
                <w:sz w:val="28"/>
              </w:rPr>
              <w:t>10,0</w:t>
            </w:r>
          </w:p>
        </w:tc>
        <w:tc>
          <w:tcPr>
            <w:tcW w:type="dxa" w:w="1701"/>
            <w:tcBorders>
              <w:top w:color="000000" w:sz="4" w:val="single"/>
              <w:left w:color="000000" w:sz="4" w:val="single"/>
              <w:bottom w:color="000000" w:sz="4" w:val="single"/>
              <w:right w:color="000000" w:sz="4" w:val="single"/>
            </w:tcBorders>
            <w:shd w:fill="auto" w:val="clear"/>
          </w:tcPr>
          <w:p w14:paraId="3E050000">
            <w:pPr>
              <w:ind/>
              <w:jc w:val="center"/>
              <w:rPr>
                <w:rFonts w:ascii="Times New Roman" w:hAnsi="Times New Roman"/>
                <w:sz w:val="28"/>
              </w:rPr>
            </w:pPr>
            <w:r>
              <w:rPr>
                <w:rFonts w:ascii="Times New Roman" w:hAnsi="Times New Roman"/>
                <w:sz w:val="28"/>
              </w:rPr>
              <w:t>20,0</w:t>
            </w:r>
          </w:p>
        </w:tc>
      </w:tr>
      <w:tr>
        <w:tc>
          <w:tcPr>
            <w:tcW w:type="dxa" w:w="562"/>
            <w:tcBorders>
              <w:top w:color="000000" w:sz="4" w:val="single"/>
              <w:left w:color="000000" w:sz="4" w:val="single"/>
              <w:bottom w:color="000000" w:sz="4" w:val="single"/>
              <w:right w:color="000000" w:sz="4" w:val="single"/>
            </w:tcBorders>
          </w:tcPr>
          <w:p w14:paraId="3F050000">
            <w:pPr>
              <w:ind/>
              <w:jc w:val="center"/>
              <w:rPr>
                <w:rFonts w:ascii="Times New Roman" w:hAnsi="Times New Roman"/>
                <w:sz w:val="28"/>
              </w:rPr>
            </w:pPr>
            <w:r>
              <w:rPr>
                <w:rFonts w:ascii="Times New Roman" w:hAnsi="Times New Roman"/>
                <w:sz w:val="28"/>
              </w:rPr>
              <w:t>3.</w:t>
            </w:r>
          </w:p>
        </w:tc>
        <w:tc>
          <w:tcPr>
            <w:tcW w:type="dxa" w:w="2698"/>
            <w:tcBorders>
              <w:top w:color="000000" w:sz="4" w:val="single"/>
              <w:left w:color="000000" w:sz="4" w:val="single"/>
              <w:bottom w:color="000000" w:sz="4" w:val="single"/>
              <w:right w:color="000000" w:sz="4" w:val="single"/>
            </w:tcBorders>
          </w:tcPr>
          <w:p w14:paraId="40050000">
            <w:pPr>
              <w:rPr>
                <w:rFonts w:ascii="Times New Roman" w:hAnsi="Times New Roman"/>
                <w:color w:val="000000"/>
                <w:sz w:val="28"/>
              </w:rPr>
            </w:pPr>
            <w:r>
              <w:rPr>
                <w:rFonts w:ascii="Times New Roman" w:hAnsi="Times New Roman"/>
                <w:color w:val="000000"/>
                <w:sz w:val="28"/>
              </w:rPr>
              <w:t xml:space="preserve">Рынок услуг дошкольного образования </w:t>
            </w:r>
          </w:p>
        </w:tc>
        <w:tc>
          <w:tcPr>
            <w:tcW w:type="dxa" w:w="6379"/>
            <w:tcBorders>
              <w:top w:color="000000" w:sz="4" w:val="single"/>
              <w:left w:color="000000" w:sz="4" w:val="single"/>
              <w:bottom w:color="000000" w:sz="4" w:val="single"/>
              <w:right w:color="000000" w:sz="4" w:val="single"/>
            </w:tcBorders>
          </w:tcPr>
          <w:p w14:paraId="41050000">
            <w:pPr>
              <w:rPr>
                <w:rFonts w:ascii="Times New Roman" w:hAnsi="Times New Roman"/>
                <w:color w:val="000000"/>
                <w:sz w:val="28"/>
              </w:rPr>
            </w:pPr>
            <w:r>
              <w:rPr>
                <w:rFonts w:ascii="Times New Roman" w:hAnsi="Times New Roman"/>
                <w:color w:val="000000"/>
                <w:sz w:val="28"/>
              </w:rPr>
              <w:t xml:space="preserve">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процентов </w:t>
            </w:r>
          </w:p>
        </w:tc>
        <w:tc>
          <w:tcPr>
            <w:tcW w:type="dxa" w:w="1984"/>
            <w:tcBorders>
              <w:top w:color="000000" w:sz="4" w:val="single"/>
              <w:left w:color="000000" w:sz="4" w:val="single"/>
              <w:bottom w:color="000000" w:sz="4" w:val="single"/>
              <w:right w:color="000000" w:sz="4" w:val="single"/>
            </w:tcBorders>
          </w:tcPr>
          <w:p w14:paraId="42050000">
            <w:pPr>
              <w:ind/>
              <w:jc w:val="center"/>
              <w:rPr>
                <w:rFonts w:ascii="Times New Roman" w:hAnsi="Times New Roman"/>
                <w:color w:val="000000"/>
                <w:sz w:val="28"/>
              </w:rPr>
            </w:pPr>
            <w:r>
              <w:rPr>
                <w:rFonts w:ascii="Times New Roman" w:hAnsi="Times New Roman"/>
                <w:color w:val="000000"/>
                <w:sz w:val="28"/>
              </w:rPr>
              <w:t>1,5</w:t>
            </w:r>
          </w:p>
        </w:tc>
        <w:tc>
          <w:tcPr>
            <w:tcW w:type="dxa" w:w="1843"/>
            <w:tcBorders>
              <w:top w:color="000000" w:sz="4" w:val="single"/>
              <w:left w:color="000000" w:sz="4" w:val="single"/>
              <w:bottom w:color="000000" w:sz="4" w:val="single"/>
              <w:right w:color="000000" w:sz="4" w:val="single"/>
            </w:tcBorders>
            <w:shd w:fill="auto" w:val="clear"/>
          </w:tcPr>
          <w:p w14:paraId="43050000">
            <w:pPr>
              <w:ind/>
              <w:jc w:val="center"/>
              <w:rPr>
                <w:rFonts w:ascii="Times New Roman" w:hAnsi="Times New Roman"/>
                <w:color w:val="000000"/>
                <w:sz w:val="28"/>
              </w:rPr>
            </w:pPr>
            <w:r>
              <w:rPr>
                <w:rFonts w:ascii="Times New Roman" w:hAnsi="Times New Roman"/>
                <w:color w:val="000000"/>
                <w:sz w:val="28"/>
              </w:rPr>
              <w:t>1,6</w:t>
            </w:r>
          </w:p>
        </w:tc>
        <w:tc>
          <w:tcPr>
            <w:tcW w:type="dxa" w:w="1701"/>
            <w:tcBorders>
              <w:top w:color="000000" w:sz="4" w:val="single"/>
              <w:left w:color="000000" w:sz="4" w:val="single"/>
              <w:bottom w:color="000000" w:sz="4" w:val="single"/>
              <w:right w:color="000000" w:sz="4" w:val="single"/>
            </w:tcBorders>
            <w:shd w:fill="auto" w:val="clear"/>
          </w:tcPr>
          <w:p w14:paraId="44050000">
            <w:pPr>
              <w:ind/>
              <w:jc w:val="center"/>
              <w:rPr>
                <w:rFonts w:ascii="Times New Roman" w:hAnsi="Times New Roman"/>
                <w:sz w:val="28"/>
              </w:rPr>
            </w:pPr>
            <w:r>
              <w:rPr>
                <w:rFonts w:ascii="Times New Roman" w:hAnsi="Times New Roman"/>
                <w:sz w:val="28"/>
              </w:rPr>
              <w:t>1,6</w:t>
            </w:r>
          </w:p>
        </w:tc>
      </w:tr>
      <w:tr>
        <w:tc>
          <w:tcPr>
            <w:tcW w:type="dxa" w:w="562"/>
            <w:tcBorders>
              <w:top w:color="000000" w:sz="4" w:val="single"/>
              <w:left w:color="000000" w:sz="4" w:val="single"/>
              <w:bottom w:color="000000" w:sz="4" w:val="single"/>
              <w:right w:color="000000" w:sz="4" w:val="single"/>
            </w:tcBorders>
          </w:tcPr>
          <w:p w14:paraId="45050000">
            <w:pPr>
              <w:ind/>
              <w:jc w:val="center"/>
              <w:rPr>
                <w:rFonts w:ascii="Times New Roman" w:hAnsi="Times New Roman"/>
                <w:sz w:val="28"/>
              </w:rPr>
            </w:pPr>
            <w:r>
              <w:rPr>
                <w:rFonts w:ascii="Times New Roman" w:hAnsi="Times New Roman"/>
                <w:sz w:val="28"/>
              </w:rPr>
              <w:t>4.</w:t>
            </w:r>
          </w:p>
        </w:tc>
        <w:tc>
          <w:tcPr>
            <w:tcW w:type="dxa" w:w="2698"/>
            <w:tcBorders>
              <w:top w:color="000000" w:sz="4" w:val="single"/>
              <w:left w:color="000000" w:sz="4" w:val="single"/>
              <w:bottom w:color="000000" w:sz="4" w:val="single"/>
              <w:right w:color="000000" w:sz="4" w:val="single"/>
            </w:tcBorders>
          </w:tcPr>
          <w:p w14:paraId="46050000">
            <w:pPr>
              <w:rPr>
                <w:rFonts w:ascii="Times New Roman" w:hAnsi="Times New Roman"/>
                <w:color w:val="000000"/>
                <w:sz w:val="28"/>
              </w:rPr>
            </w:pPr>
            <w:r>
              <w:rPr>
                <w:rFonts w:ascii="Times New Roman" w:hAnsi="Times New Roman"/>
                <w:color w:val="000000"/>
                <w:sz w:val="28"/>
              </w:rPr>
              <w:t xml:space="preserve">Рынок услуг детского отдыха и оздоровления </w:t>
            </w:r>
          </w:p>
        </w:tc>
        <w:tc>
          <w:tcPr>
            <w:tcW w:type="dxa" w:w="6379"/>
            <w:tcBorders>
              <w:top w:color="000000" w:sz="4" w:val="single"/>
              <w:left w:color="000000" w:sz="4" w:val="single"/>
              <w:bottom w:color="000000" w:sz="4" w:val="single"/>
              <w:right w:color="000000" w:sz="4" w:val="single"/>
            </w:tcBorders>
          </w:tcPr>
          <w:p w14:paraId="47050000">
            <w:pPr>
              <w:rPr>
                <w:rFonts w:ascii="Times New Roman" w:hAnsi="Times New Roman"/>
                <w:color w:val="000000"/>
                <w:sz w:val="28"/>
              </w:rPr>
            </w:pPr>
            <w:r>
              <w:rPr>
                <w:rFonts w:ascii="Times New Roman" w:hAnsi="Times New Roman"/>
                <w:color w:val="000000"/>
                <w:sz w:val="28"/>
              </w:rPr>
              <w:t xml:space="preserve">Доля организаций отдыха и оздоровления детей частной формы собственности, процентов </w:t>
            </w:r>
          </w:p>
        </w:tc>
        <w:tc>
          <w:tcPr>
            <w:tcW w:type="dxa" w:w="1984"/>
            <w:tcBorders>
              <w:top w:color="000000" w:sz="4" w:val="single"/>
              <w:left w:color="000000" w:sz="4" w:val="single"/>
              <w:bottom w:color="000000" w:sz="4" w:val="single"/>
              <w:right w:color="000000" w:sz="4" w:val="single"/>
            </w:tcBorders>
          </w:tcPr>
          <w:p w14:paraId="48050000">
            <w:pPr>
              <w:ind/>
              <w:jc w:val="center"/>
              <w:rPr>
                <w:rFonts w:ascii="Times New Roman" w:hAnsi="Times New Roman"/>
                <w:color w:val="000000"/>
                <w:sz w:val="28"/>
              </w:rPr>
            </w:pPr>
            <w:r>
              <w:rPr>
                <w:rFonts w:ascii="Times New Roman" w:hAnsi="Times New Roman"/>
                <w:color w:val="000000"/>
                <w:sz w:val="28"/>
              </w:rPr>
              <w:t>18,0</w:t>
            </w:r>
          </w:p>
        </w:tc>
        <w:tc>
          <w:tcPr>
            <w:tcW w:type="dxa" w:w="1843"/>
            <w:tcBorders>
              <w:top w:color="000000" w:sz="4" w:val="single"/>
              <w:left w:color="000000" w:sz="4" w:val="single"/>
              <w:bottom w:color="000000" w:sz="4" w:val="single"/>
              <w:right w:color="000000" w:sz="4" w:val="single"/>
            </w:tcBorders>
            <w:shd w:fill="auto" w:val="clear"/>
          </w:tcPr>
          <w:p w14:paraId="49050000">
            <w:pPr>
              <w:ind/>
              <w:jc w:val="center"/>
              <w:rPr>
                <w:rFonts w:ascii="Times New Roman" w:hAnsi="Times New Roman"/>
                <w:sz w:val="28"/>
              </w:rPr>
            </w:pPr>
            <w:r>
              <w:rPr>
                <w:rFonts w:ascii="Times New Roman" w:hAnsi="Times New Roman"/>
                <w:sz w:val="28"/>
              </w:rPr>
              <w:t>20,0</w:t>
            </w:r>
          </w:p>
        </w:tc>
        <w:tc>
          <w:tcPr>
            <w:tcW w:type="dxa" w:w="1701"/>
            <w:tcBorders>
              <w:top w:color="000000" w:sz="4" w:val="single"/>
              <w:left w:color="000000" w:sz="4" w:val="single"/>
              <w:bottom w:color="000000" w:sz="4" w:val="single"/>
              <w:right w:color="000000" w:sz="4" w:val="single"/>
            </w:tcBorders>
            <w:shd w:fill="auto" w:val="clear"/>
          </w:tcPr>
          <w:p w14:paraId="4A050000">
            <w:pPr>
              <w:ind/>
              <w:jc w:val="center"/>
              <w:rPr>
                <w:rFonts w:ascii="Times New Roman" w:hAnsi="Times New Roman"/>
                <w:sz w:val="28"/>
              </w:rPr>
            </w:pPr>
            <w:r>
              <w:rPr>
                <w:rFonts w:ascii="Times New Roman" w:hAnsi="Times New Roman"/>
                <w:sz w:val="28"/>
              </w:rPr>
              <w:t>18,0</w:t>
            </w:r>
          </w:p>
        </w:tc>
      </w:tr>
      <w:tr>
        <w:tc>
          <w:tcPr>
            <w:tcW w:type="dxa" w:w="562"/>
            <w:tcBorders>
              <w:top w:color="000000" w:sz="4" w:val="single"/>
              <w:left w:color="000000" w:sz="4" w:val="single"/>
              <w:bottom w:color="000000" w:sz="4" w:val="single"/>
              <w:right w:color="000000" w:sz="4" w:val="single"/>
            </w:tcBorders>
          </w:tcPr>
          <w:p w14:paraId="4B050000">
            <w:pPr>
              <w:ind/>
              <w:jc w:val="center"/>
              <w:rPr>
                <w:rFonts w:ascii="Times New Roman" w:hAnsi="Times New Roman"/>
                <w:sz w:val="28"/>
              </w:rPr>
            </w:pPr>
            <w:r>
              <w:rPr>
                <w:rFonts w:ascii="Times New Roman" w:hAnsi="Times New Roman"/>
                <w:sz w:val="28"/>
              </w:rPr>
              <w:t>5.</w:t>
            </w:r>
          </w:p>
          <w:p w14:paraId="4C050000">
            <w:pPr>
              <w:rPr>
                <w:rFonts w:ascii="Times New Roman" w:hAnsi="Times New Roman"/>
                <w:sz w:val="28"/>
              </w:rPr>
            </w:pPr>
          </w:p>
        </w:tc>
        <w:tc>
          <w:tcPr>
            <w:tcW w:type="dxa" w:w="2698"/>
            <w:tcBorders>
              <w:top w:color="000000" w:sz="4" w:val="single"/>
              <w:left w:color="000000" w:sz="4" w:val="single"/>
              <w:bottom w:color="000000" w:sz="4" w:val="single"/>
              <w:right w:color="000000" w:sz="4" w:val="single"/>
            </w:tcBorders>
          </w:tcPr>
          <w:p w14:paraId="4D050000">
            <w:pPr>
              <w:rPr>
                <w:rFonts w:ascii="Times New Roman" w:hAnsi="Times New Roman"/>
                <w:color w:val="000000"/>
                <w:sz w:val="28"/>
              </w:rPr>
            </w:pPr>
            <w:r>
              <w:rPr>
                <w:rFonts w:ascii="Times New Roman" w:hAnsi="Times New Roman"/>
                <w:color w:val="000000"/>
                <w:sz w:val="28"/>
              </w:rPr>
              <w:t xml:space="preserve">Рынок услуг дополнительного образования детей </w:t>
            </w:r>
          </w:p>
        </w:tc>
        <w:tc>
          <w:tcPr>
            <w:tcW w:type="dxa" w:w="6379"/>
            <w:tcBorders>
              <w:top w:color="000000" w:sz="4" w:val="single"/>
              <w:left w:color="000000" w:sz="4" w:val="single"/>
              <w:bottom w:color="000000" w:sz="4" w:val="single"/>
              <w:right w:color="000000" w:sz="4" w:val="single"/>
            </w:tcBorders>
          </w:tcPr>
          <w:p w14:paraId="4E050000">
            <w:pPr>
              <w:rPr>
                <w:rFonts w:ascii="Times New Roman" w:hAnsi="Times New Roman"/>
                <w:color w:val="000000"/>
                <w:sz w:val="28"/>
              </w:rPr>
            </w:pPr>
            <w:r>
              <w:rPr>
                <w:rFonts w:ascii="Times New Roman" w:hAnsi="Times New Roman"/>
                <w:color w:val="000000"/>
                <w:sz w:val="28"/>
              </w:rPr>
              <w:t xml:space="preserve">Доля организаций частной формы собственности в сфере услуг дополнительного образования детей, процентов </w:t>
            </w:r>
          </w:p>
        </w:tc>
        <w:tc>
          <w:tcPr>
            <w:tcW w:type="dxa" w:w="1984"/>
            <w:tcBorders>
              <w:top w:color="000000" w:sz="4" w:val="single"/>
              <w:left w:color="000000" w:sz="4" w:val="single"/>
              <w:bottom w:color="000000" w:sz="4" w:val="single"/>
              <w:right w:color="000000" w:sz="4" w:val="single"/>
            </w:tcBorders>
          </w:tcPr>
          <w:p w14:paraId="4F050000">
            <w:pPr>
              <w:ind/>
              <w:jc w:val="center"/>
              <w:rPr>
                <w:rFonts w:ascii="Times New Roman" w:hAnsi="Times New Roman"/>
                <w:color w:val="000000"/>
                <w:sz w:val="28"/>
              </w:rPr>
            </w:pPr>
            <w:r>
              <w:rPr>
                <w:rFonts w:ascii="Times New Roman" w:hAnsi="Times New Roman"/>
                <w:color w:val="000000"/>
                <w:sz w:val="28"/>
              </w:rPr>
              <w:t>5,0</w:t>
            </w:r>
          </w:p>
        </w:tc>
        <w:tc>
          <w:tcPr>
            <w:tcW w:type="dxa" w:w="1843"/>
            <w:tcBorders>
              <w:top w:color="000000" w:sz="4" w:val="single"/>
              <w:left w:color="000000" w:sz="4" w:val="single"/>
              <w:bottom w:color="000000" w:sz="4" w:val="single"/>
              <w:right w:color="000000" w:sz="4" w:val="single"/>
            </w:tcBorders>
            <w:shd w:fill="auto" w:val="clear"/>
          </w:tcPr>
          <w:p w14:paraId="50050000">
            <w:pPr>
              <w:ind/>
              <w:jc w:val="center"/>
              <w:rPr>
                <w:rFonts w:ascii="Times New Roman" w:hAnsi="Times New Roman"/>
                <w:sz w:val="28"/>
              </w:rPr>
            </w:pPr>
            <w:r>
              <w:rPr>
                <w:rFonts w:ascii="Times New Roman" w:hAnsi="Times New Roman"/>
                <w:sz w:val="28"/>
              </w:rPr>
              <w:t>5,0</w:t>
            </w:r>
          </w:p>
        </w:tc>
        <w:tc>
          <w:tcPr>
            <w:tcW w:type="dxa" w:w="1701"/>
            <w:tcBorders>
              <w:top w:color="000000" w:sz="4" w:val="single"/>
              <w:left w:color="000000" w:sz="4" w:val="single"/>
              <w:bottom w:color="000000" w:sz="4" w:val="single"/>
              <w:right w:color="000000" w:sz="4" w:val="single"/>
            </w:tcBorders>
            <w:shd w:fill="auto" w:val="clear"/>
          </w:tcPr>
          <w:p w14:paraId="51050000">
            <w:pPr>
              <w:ind/>
              <w:jc w:val="center"/>
              <w:rPr>
                <w:rFonts w:ascii="Times New Roman" w:hAnsi="Times New Roman"/>
                <w:sz w:val="28"/>
              </w:rPr>
            </w:pPr>
            <w:r>
              <w:rPr>
                <w:rFonts w:ascii="Times New Roman" w:hAnsi="Times New Roman"/>
                <w:sz w:val="28"/>
              </w:rPr>
              <w:t>5,0</w:t>
            </w:r>
          </w:p>
        </w:tc>
      </w:tr>
      <w:tr>
        <w:tc>
          <w:tcPr>
            <w:tcW w:type="dxa" w:w="562"/>
            <w:tcBorders>
              <w:top w:color="000000" w:sz="4" w:val="single"/>
              <w:left w:color="000000" w:sz="4" w:val="single"/>
              <w:bottom w:color="000000" w:sz="4" w:val="single"/>
              <w:right w:color="000000" w:sz="4" w:val="single"/>
            </w:tcBorders>
          </w:tcPr>
          <w:p w14:paraId="52050000">
            <w:pPr>
              <w:ind/>
              <w:jc w:val="center"/>
              <w:rPr>
                <w:rFonts w:ascii="Times New Roman" w:hAnsi="Times New Roman"/>
                <w:sz w:val="28"/>
              </w:rPr>
            </w:pPr>
            <w:r>
              <w:rPr>
                <w:rFonts w:ascii="Times New Roman" w:hAnsi="Times New Roman"/>
                <w:sz w:val="28"/>
              </w:rPr>
              <w:t>6.</w:t>
            </w:r>
          </w:p>
        </w:tc>
        <w:tc>
          <w:tcPr>
            <w:tcW w:type="dxa" w:w="2698"/>
            <w:tcBorders>
              <w:top w:color="000000" w:sz="4" w:val="single"/>
              <w:left w:color="000000" w:sz="4" w:val="single"/>
              <w:bottom w:color="000000" w:sz="4" w:val="single"/>
              <w:right w:color="000000" w:sz="4" w:val="single"/>
            </w:tcBorders>
          </w:tcPr>
          <w:p w14:paraId="53050000">
            <w:pPr>
              <w:rPr>
                <w:rFonts w:ascii="Times New Roman" w:hAnsi="Times New Roman"/>
                <w:color w:val="000000"/>
                <w:sz w:val="28"/>
              </w:rPr>
            </w:pPr>
            <w:r>
              <w:rPr>
                <w:rFonts w:ascii="Times New Roman" w:hAnsi="Times New Roman"/>
                <w:color w:val="000000"/>
                <w:sz w:val="28"/>
              </w:rPr>
              <w:t xml:space="preserve">Рынок жилищного строительства (за исключением Московского фонда реновации жилой застройки и индивидуального жилищного строительства) </w:t>
            </w:r>
          </w:p>
        </w:tc>
        <w:tc>
          <w:tcPr>
            <w:tcW w:type="dxa" w:w="6379"/>
            <w:tcBorders>
              <w:top w:color="000000" w:sz="4" w:val="single"/>
              <w:left w:color="000000" w:sz="4" w:val="single"/>
              <w:bottom w:color="000000" w:sz="4" w:val="single"/>
              <w:right w:color="000000" w:sz="4" w:val="single"/>
            </w:tcBorders>
          </w:tcPr>
          <w:p w14:paraId="54050000">
            <w:pPr>
              <w:rPr>
                <w:rFonts w:ascii="Times New Roman" w:hAnsi="Times New Roman"/>
                <w:color w:val="000000"/>
                <w:sz w:val="28"/>
              </w:rPr>
            </w:pPr>
            <w:r>
              <w:rPr>
                <w:rFonts w:ascii="Times New Roman" w:hAnsi="Times New Roman"/>
                <w:color w:val="000000"/>
                <w:sz w:val="28"/>
              </w:rPr>
              <w:t xml:space="preserve">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 процентов </w:t>
            </w:r>
          </w:p>
        </w:tc>
        <w:tc>
          <w:tcPr>
            <w:tcW w:type="dxa" w:w="1984"/>
            <w:tcBorders>
              <w:top w:color="000000" w:sz="4" w:val="single"/>
              <w:left w:color="000000" w:sz="4" w:val="single"/>
              <w:bottom w:color="000000" w:sz="4" w:val="single"/>
              <w:right w:color="000000" w:sz="4" w:val="single"/>
            </w:tcBorders>
          </w:tcPr>
          <w:p w14:paraId="55050000">
            <w:pPr>
              <w:ind/>
              <w:jc w:val="center"/>
              <w:rPr>
                <w:rFonts w:ascii="Times New Roman" w:hAnsi="Times New Roman"/>
                <w:color w:val="000000"/>
                <w:sz w:val="28"/>
              </w:rPr>
            </w:pPr>
            <w:r>
              <w:rPr>
                <w:rFonts w:ascii="Times New Roman" w:hAnsi="Times New Roman"/>
                <w:color w:val="000000"/>
                <w:sz w:val="28"/>
              </w:rPr>
              <w:t>80</w:t>
            </w:r>
          </w:p>
        </w:tc>
        <w:tc>
          <w:tcPr>
            <w:tcW w:type="dxa" w:w="1843"/>
            <w:tcBorders>
              <w:top w:color="000000" w:sz="4" w:val="single"/>
              <w:left w:color="000000" w:sz="4" w:val="single"/>
              <w:bottom w:color="000000" w:sz="4" w:val="single"/>
              <w:right w:color="000000" w:sz="4" w:val="single"/>
            </w:tcBorders>
            <w:shd w:fill="auto" w:val="clear"/>
          </w:tcPr>
          <w:p w14:paraId="56050000">
            <w:pPr>
              <w:ind/>
              <w:jc w:val="center"/>
              <w:rPr>
                <w:rFonts w:ascii="Times New Roman" w:hAnsi="Times New Roman"/>
                <w:sz w:val="28"/>
              </w:rPr>
            </w:pPr>
            <w:r>
              <w:rPr>
                <w:rFonts w:ascii="Times New Roman" w:hAnsi="Times New Roman"/>
                <w:sz w:val="28"/>
              </w:rPr>
              <w:t>95</w:t>
            </w:r>
          </w:p>
        </w:tc>
        <w:tc>
          <w:tcPr>
            <w:tcW w:type="dxa" w:w="1701"/>
            <w:tcBorders>
              <w:top w:color="000000" w:sz="4" w:val="single"/>
              <w:left w:color="000000" w:sz="4" w:val="single"/>
              <w:bottom w:color="000000" w:sz="4" w:val="single"/>
              <w:right w:color="000000" w:sz="4" w:val="single"/>
            </w:tcBorders>
            <w:shd w:fill="auto" w:val="clear"/>
          </w:tcPr>
          <w:p w14:paraId="57050000">
            <w:pPr>
              <w:ind/>
              <w:jc w:val="center"/>
              <w:rPr>
                <w:rFonts w:ascii="Times New Roman" w:hAnsi="Times New Roman"/>
                <w:sz w:val="28"/>
              </w:rPr>
            </w:pPr>
            <w:r>
              <w:rPr>
                <w:rFonts w:ascii="Times New Roman" w:hAnsi="Times New Roman"/>
                <w:sz w:val="28"/>
              </w:rPr>
              <w:t>80</w:t>
            </w:r>
          </w:p>
        </w:tc>
      </w:tr>
      <w:tr>
        <w:tc>
          <w:tcPr>
            <w:tcW w:type="dxa" w:w="562"/>
            <w:tcBorders>
              <w:top w:color="000000" w:sz="4" w:val="single"/>
              <w:left w:color="000000" w:sz="4" w:val="single"/>
              <w:bottom w:color="000000" w:sz="4" w:val="single"/>
              <w:right w:color="000000" w:sz="4" w:val="single"/>
            </w:tcBorders>
          </w:tcPr>
          <w:p w14:paraId="58050000">
            <w:pPr>
              <w:ind/>
              <w:jc w:val="center"/>
              <w:rPr>
                <w:rFonts w:ascii="Times New Roman" w:hAnsi="Times New Roman"/>
                <w:sz w:val="28"/>
              </w:rPr>
            </w:pPr>
            <w:r>
              <w:rPr>
                <w:rFonts w:ascii="Times New Roman" w:hAnsi="Times New Roman"/>
                <w:sz w:val="28"/>
              </w:rPr>
              <w:t>7.</w:t>
            </w:r>
          </w:p>
        </w:tc>
        <w:tc>
          <w:tcPr>
            <w:tcW w:type="dxa" w:w="2698"/>
            <w:tcBorders>
              <w:top w:color="000000" w:sz="4" w:val="single"/>
              <w:left w:color="000000" w:sz="4" w:val="single"/>
              <w:bottom w:color="000000" w:sz="4" w:val="single"/>
              <w:right w:color="000000" w:sz="4" w:val="single"/>
            </w:tcBorders>
          </w:tcPr>
          <w:p w14:paraId="59050000">
            <w:pPr>
              <w:rPr>
                <w:rFonts w:ascii="Times New Roman" w:hAnsi="Times New Roman"/>
                <w:color w:val="000000"/>
                <w:sz w:val="28"/>
              </w:rPr>
            </w:pPr>
            <w:r>
              <w:rPr>
                <w:rFonts w:ascii="Times New Roman" w:hAnsi="Times New Roman"/>
                <w:color w:val="000000"/>
                <w:sz w:val="28"/>
              </w:rPr>
              <w:t xml:space="preserve">Рынок дорожной деятельности (за исключением проектирования) </w:t>
            </w:r>
          </w:p>
        </w:tc>
        <w:tc>
          <w:tcPr>
            <w:tcW w:type="dxa" w:w="6379"/>
            <w:tcBorders>
              <w:top w:color="000000" w:sz="4" w:val="single"/>
              <w:left w:color="000000" w:sz="4" w:val="single"/>
              <w:bottom w:color="000000" w:sz="4" w:val="single"/>
              <w:right w:color="000000" w:sz="4" w:val="single"/>
            </w:tcBorders>
          </w:tcPr>
          <w:p w14:paraId="5A050000">
            <w:pPr>
              <w:rPr>
                <w:rFonts w:ascii="Times New Roman" w:hAnsi="Times New Roman"/>
                <w:color w:val="000000"/>
                <w:sz w:val="28"/>
              </w:rPr>
            </w:pPr>
            <w:r>
              <w:rPr>
                <w:rFonts w:ascii="Times New Roman" w:hAnsi="Times New Roman"/>
                <w:color w:val="000000"/>
                <w:sz w:val="28"/>
              </w:rPr>
              <w:t xml:space="preserve">Доля организаций частной формы собственности в сфере дорожной деятельности (за исключением проектирования), процентов </w:t>
            </w:r>
          </w:p>
        </w:tc>
        <w:tc>
          <w:tcPr>
            <w:tcW w:type="dxa" w:w="1984"/>
            <w:tcBorders>
              <w:top w:color="000000" w:sz="4" w:val="single"/>
              <w:left w:color="000000" w:sz="4" w:val="single"/>
              <w:bottom w:color="000000" w:sz="4" w:val="single"/>
              <w:right w:color="000000" w:sz="4" w:val="single"/>
            </w:tcBorders>
          </w:tcPr>
          <w:p w14:paraId="5B050000">
            <w:pPr>
              <w:ind/>
              <w:jc w:val="center"/>
              <w:rPr>
                <w:rFonts w:ascii="Times New Roman" w:hAnsi="Times New Roman"/>
                <w:color w:val="000000"/>
                <w:sz w:val="28"/>
              </w:rPr>
            </w:pPr>
            <w:r>
              <w:rPr>
                <w:rFonts w:ascii="Times New Roman" w:hAnsi="Times New Roman"/>
                <w:color w:val="000000"/>
                <w:sz w:val="28"/>
              </w:rPr>
              <w:t>81,0</w:t>
            </w:r>
          </w:p>
        </w:tc>
        <w:tc>
          <w:tcPr>
            <w:tcW w:type="dxa" w:w="1843"/>
            <w:tcBorders>
              <w:top w:color="000000" w:sz="4" w:val="single"/>
              <w:left w:color="000000" w:sz="4" w:val="single"/>
              <w:bottom w:color="000000" w:sz="4" w:val="single"/>
              <w:right w:color="000000" w:sz="4" w:val="single"/>
            </w:tcBorders>
            <w:shd w:fill="auto" w:val="clear"/>
          </w:tcPr>
          <w:p w14:paraId="5C050000">
            <w:pPr>
              <w:ind/>
              <w:jc w:val="center"/>
              <w:rPr>
                <w:rFonts w:ascii="Times New Roman" w:hAnsi="Times New Roman"/>
                <w:sz w:val="28"/>
              </w:rPr>
            </w:pPr>
            <w:r>
              <w:rPr>
                <w:rFonts w:ascii="Times New Roman" w:hAnsi="Times New Roman"/>
                <w:sz w:val="28"/>
              </w:rPr>
              <w:t>80,0</w:t>
            </w:r>
          </w:p>
        </w:tc>
        <w:tc>
          <w:tcPr>
            <w:tcW w:type="dxa" w:w="1701"/>
            <w:tcBorders>
              <w:top w:color="000000" w:sz="4" w:val="single"/>
              <w:left w:color="000000" w:sz="4" w:val="single"/>
              <w:bottom w:color="000000" w:sz="4" w:val="single"/>
              <w:right w:color="000000" w:sz="4" w:val="single"/>
            </w:tcBorders>
            <w:shd w:fill="auto" w:val="clear"/>
          </w:tcPr>
          <w:p w14:paraId="5D050000">
            <w:pPr>
              <w:ind/>
              <w:jc w:val="center"/>
              <w:rPr>
                <w:rFonts w:ascii="Times New Roman" w:hAnsi="Times New Roman"/>
                <w:sz w:val="28"/>
              </w:rPr>
            </w:pPr>
            <w:r>
              <w:rPr>
                <w:rFonts w:ascii="Times New Roman" w:hAnsi="Times New Roman"/>
                <w:sz w:val="28"/>
              </w:rPr>
              <w:t>87,8</w:t>
            </w:r>
          </w:p>
        </w:tc>
      </w:tr>
      <w:tr>
        <w:tc>
          <w:tcPr>
            <w:tcW w:type="dxa" w:w="562"/>
            <w:tcBorders>
              <w:top w:color="000000" w:sz="4" w:val="single"/>
              <w:left w:color="000000" w:sz="4" w:val="single"/>
              <w:bottom w:color="000000" w:sz="4" w:val="single"/>
              <w:right w:color="000000" w:sz="4" w:val="single"/>
            </w:tcBorders>
          </w:tcPr>
          <w:p w14:paraId="5E050000">
            <w:pPr>
              <w:ind/>
              <w:jc w:val="center"/>
              <w:rPr>
                <w:rFonts w:ascii="Times New Roman" w:hAnsi="Times New Roman"/>
                <w:sz w:val="28"/>
              </w:rPr>
            </w:pPr>
            <w:r>
              <w:rPr>
                <w:rFonts w:ascii="Times New Roman" w:hAnsi="Times New Roman"/>
                <w:sz w:val="28"/>
              </w:rPr>
              <w:t>8.</w:t>
            </w:r>
          </w:p>
        </w:tc>
        <w:tc>
          <w:tcPr>
            <w:tcW w:type="dxa" w:w="2698"/>
            <w:tcBorders>
              <w:top w:color="000000" w:sz="4" w:val="single"/>
              <w:left w:color="000000" w:sz="4" w:val="single"/>
              <w:bottom w:color="000000" w:sz="4" w:val="single"/>
              <w:right w:color="000000" w:sz="4" w:val="single"/>
            </w:tcBorders>
          </w:tcPr>
          <w:p w14:paraId="5F050000">
            <w:pPr>
              <w:rPr>
                <w:rFonts w:ascii="Times New Roman" w:hAnsi="Times New Roman"/>
                <w:color w:val="000000"/>
                <w:sz w:val="28"/>
              </w:rPr>
            </w:pPr>
            <w:r>
              <w:rPr>
                <w:rFonts w:ascii="Times New Roman" w:hAnsi="Times New Roman"/>
                <w:color w:val="000000"/>
                <w:sz w:val="28"/>
              </w:rPr>
              <w:t xml:space="preserve">Рынок теплоснабжения (производство тепловой энергии) </w:t>
            </w:r>
          </w:p>
        </w:tc>
        <w:tc>
          <w:tcPr>
            <w:tcW w:type="dxa" w:w="6379"/>
            <w:tcBorders>
              <w:top w:color="000000" w:sz="4" w:val="single"/>
              <w:left w:color="000000" w:sz="4" w:val="single"/>
              <w:bottom w:color="000000" w:sz="4" w:val="single"/>
              <w:right w:color="000000" w:sz="4" w:val="single"/>
            </w:tcBorders>
          </w:tcPr>
          <w:p w14:paraId="60050000">
            <w:pPr>
              <w:rPr>
                <w:rFonts w:ascii="Times New Roman" w:hAnsi="Times New Roman"/>
                <w:color w:val="000000"/>
                <w:sz w:val="28"/>
              </w:rPr>
            </w:pPr>
            <w:r>
              <w:rPr>
                <w:rFonts w:ascii="Times New Roman" w:hAnsi="Times New Roman"/>
                <w:color w:val="000000"/>
                <w:sz w:val="28"/>
              </w:rPr>
              <w:t xml:space="preserve">Доля организаций частной формы собственности в сфере теплоснабжения (производство тепловой энергии), процентов </w:t>
            </w:r>
          </w:p>
        </w:tc>
        <w:tc>
          <w:tcPr>
            <w:tcW w:type="dxa" w:w="1984"/>
            <w:tcBorders>
              <w:top w:color="000000" w:sz="4" w:val="single"/>
              <w:left w:color="000000" w:sz="4" w:val="single"/>
              <w:bottom w:color="000000" w:sz="4" w:val="single"/>
              <w:right w:color="000000" w:sz="4" w:val="single"/>
            </w:tcBorders>
          </w:tcPr>
          <w:p w14:paraId="61050000">
            <w:pPr>
              <w:ind/>
              <w:jc w:val="center"/>
              <w:rPr>
                <w:rFonts w:ascii="Times New Roman" w:hAnsi="Times New Roman"/>
                <w:color w:val="000000"/>
                <w:sz w:val="28"/>
              </w:rPr>
            </w:pPr>
            <w:r>
              <w:rPr>
                <w:rFonts w:ascii="Times New Roman" w:hAnsi="Times New Roman"/>
                <w:color w:val="000000"/>
                <w:sz w:val="28"/>
              </w:rPr>
              <w:t>100</w:t>
            </w:r>
          </w:p>
        </w:tc>
        <w:tc>
          <w:tcPr>
            <w:tcW w:type="dxa" w:w="1843"/>
            <w:tcBorders>
              <w:top w:color="000000" w:sz="4" w:val="single"/>
              <w:left w:color="000000" w:sz="4" w:val="single"/>
              <w:bottom w:color="000000" w:sz="4" w:val="single"/>
              <w:right w:color="000000" w:sz="4" w:val="single"/>
            </w:tcBorders>
            <w:shd w:fill="auto" w:val="clear"/>
          </w:tcPr>
          <w:p w14:paraId="62050000">
            <w:pPr>
              <w:ind/>
              <w:jc w:val="center"/>
              <w:rPr>
                <w:rFonts w:ascii="Times New Roman" w:hAnsi="Times New Roman"/>
                <w:sz w:val="28"/>
              </w:rPr>
            </w:pPr>
            <w:r>
              <w:rPr>
                <w:rFonts w:ascii="Times New Roman" w:hAnsi="Times New Roman"/>
                <w:sz w:val="28"/>
              </w:rPr>
              <w:t>80,0</w:t>
            </w:r>
          </w:p>
        </w:tc>
        <w:tc>
          <w:tcPr>
            <w:tcW w:type="dxa" w:w="1701"/>
            <w:tcBorders>
              <w:top w:color="000000" w:sz="4" w:val="single"/>
              <w:left w:color="000000" w:sz="4" w:val="single"/>
              <w:bottom w:color="000000" w:sz="4" w:val="single"/>
              <w:right w:color="000000" w:sz="4" w:val="single"/>
            </w:tcBorders>
            <w:shd w:fill="auto" w:val="clear"/>
          </w:tcPr>
          <w:p w14:paraId="63050000">
            <w:pPr>
              <w:ind/>
              <w:jc w:val="center"/>
              <w:rPr>
                <w:rFonts w:ascii="Times New Roman" w:hAnsi="Times New Roman"/>
                <w:sz w:val="28"/>
              </w:rPr>
            </w:pPr>
            <w:r>
              <w:rPr>
                <w:rFonts w:ascii="Times New Roman" w:hAnsi="Times New Roman"/>
                <w:sz w:val="28"/>
              </w:rPr>
              <w:t>100,0</w:t>
            </w:r>
          </w:p>
        </w:tc>
      </w:tr>
      <w:tr>
        <w:tc>
          <w:tcPr>
            <w:tcW w:type="dxa" w:w="562"/>
            <w:tcBorders>
              <w:top w:color="000000" w:sz="4" w:val="single"/>
              <w:left w:color="000000" w:sz="4" w:val="single"/>
              <w:bottom w:color="000000" w:sz="4" w:val="single"/>
              <w:right w:color="000000" w:sz="4" w:val="single"/>
            </w:tcBorders>
          </w:tcPr>
          <w:p w14:paraId="64050000">
            <w:pPr>
              <w:ind/>
              <w:jc w:val="center"/>
              <w:rPr>
                <w:rFonts w:ascii="Times New Roman" w:hAnsi="Times New Roman"/>
                <w:sz w:val="28"/>
              </w:rPr>
            </w:pPr>
            <w:r>
              <w:rPr>
                <w:rFonts w:ascii="Times New Roman" w:hAnsi="Times New Roman"/>
                <w:sz w:val="28"/>
              </w:rPr>
              <w:t>9.</w:t>
            </w:r>
          </w:p>
        </w:tc>
        <w:tc>
          <w:tcPr>
            <w:tcW w:type="dxa" w:w="2698"/>
            <w:tcBorders>
              <w:top w:color="000000" w:sz="4" w:val="single"/>
              <w:left w:color="000000" w:sz="4" w:val="single"/>
              <w:bottom w:color="000000" w:sz="4" w:val="single"/>
              <w:right w:color="000000" w:sz="4" w:val="single"/>
            </w:tcBorders>
          </w:tcPr>
          <w:p w14:paraId="65050000">
            <w:pPr>
              <w:rPr>
                <w:rFonts w:ascii="Times New Roman" w:hAnsi="Times New Roman"/>
                <w:color w:val="000000"/>
                <w:sz w:val="28"/>
              </w:rPr>
            </w:pPr>
            <w:r>
              <w:rPr>
                <w:rFonts w:ascii="Times New Roman" w:hAnsi="Times New Roman"/>
                <w:color w:val="000000"/>
                <w:sz w:val="28"/>
              </w:rPr>
              <w:t xml:space="preserve">Рынок выполнения работ по содержанию и текущему ремонту общего имущества собственников помещений в многоквартирном доме </w:t>
            </w:r>
          </w:p>
        </w:tc>
        <w:tc>
          <w:tcPr>
            <w:tcW w:type="dxa" w:w="6379"/>
            <w:tcBorders>
              <w:top w:color="000000" w:sz="4" w:val="single"/>
              <w:left w:color="000000" w:sz="4" w:val="single"/>
              <w:bottom w:color="000000" w:sz="4" w:val="single"/>
              <w:right w:color="000000" w:sz="4" w:val="single"/>
            </w:tcBorders>
          </w:tcPr>
          <w:p w14:paraId="66050000">
            <w:pPr>
              <w:rPr>
                <w:rFonts w:ascii="Times New Roman" w:hAnsi="Times New Roman"/>
                <w:color w:val="000000"/>
                <w:sz w:val="28"/>
              </w:rPr>
            </w:pPr>
            <w:r>
              <w:rPr>
                <w:rFonts w:ascii="Times New Roman" w:hAnsi="Times New Roman"/>
                <w:color w:val="000000"/>
                <w:sz w:val="28"/>
              </w:rPr>
              <w:t xml:space="preserve">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процентов </w:t>
            </w:r>
          </w:p>
          <w:p w14:paraId="67050000">
            <w:pPr>
              <w:rPr>
                <w:rFonts w:ascii="Times New Roman" w:hAnsi="Times New Roman"/>
                <w:color w:val="000000"/>
                <w:sz w:val="28"/>
              </w:rPr>
            </w:pPr>
          </w:p>
        </w:tc>
        <w:tc>
          <w:tcPr>
            <w:tcW w:type="dxa" w:w="1984"/>
            <w:tcBorders>
              <w:top w:color="000000" w:sz="4" w:val="single"/>
              <w:left w:color="000000" w:sz="4" w:val="single"/>
              <w:bottom w:color="000000" w:sz="4" w:val="single"/>
              <w:right w:color="000000" w:sz="4" w:val="single"/>
            </w:tcBorders>
          </w:tcPr>
          <w:p w14:paraId="68050000">
            <w:pPr>
              <w:ind/>
              <w:jc w:val="center"/>
              <w:rPr>
                <w:rFonts w:ascii="Times New Roman" w:hAnsi="Times New Roman"/>
                <w:color w:val="000000"/>
                <w:sz w:val="28"/>
              </w:rPr>
            </w:pPr>
            <w:r>
              <w:rPr>
                <w:rFonts w:ascii="Times New Roman" w:hAnsi="Times New Roman"/>
                <w:color w:val="000000"/>
                <w:sz w:val="28"/>
              </w:rPr>
              <w:t>100</w:t>
            </w:r>
          </w:p>
        </w:tc>
        <w:tc>
          <w:tcPr>
            <w:tcW w:type="dxa" w:w="1843"/>
            <w:tcBorders>
              <w:top w:color="000000" w:sz="4" w:val="single"/>
              <w:left w:color="000000" w:sz="4" w:val="single"/>
              <w:bottom w:color="000000" w:sz="4" w:val="single"/>
              <w:right w:color="000000" w:sz="4" w:val="single"/>
            </w:tcBorders>
            <w:shd w:fill="auto" w:val="clear"/>
          </w:tcPr>
          <w:p w14:paraId="69050000">
            <w:pPr>
              <w:ind/>
              <w:jc w:val="center"/>
              <w:rPr>
                <w:rFonts w:ascii="Times New Roman" w:hAnsi="Times New Roman"/>
                <w:sz w:val="28"/>
              </w:rPr>
            </w:pPr>
            <w:r>
              <w:rPr>
                <w:rFonts w:ascii="Times New Roman" w:hAnsi="Times New Roman"/>
                <w:sz w:val="28"/>
              </w:rPr>
              <w:t>65,0</w:t>
            </w:r>
          </w:p>
        </w:tc>
        <w:tc>
          <w:tcPr>
            <w:tcW w:type="dxa" w:w="1701"/>
            <w:tcBorders>
              <w:top w:color="000000" w:sz="4" w:val="single"/>
              <w:left w:color="000000" w:sz="4" w:val="single"/>
              <w:bottom w:color="000000" w:sz="4" w:val="single"/>
              <w:right w:color="000000" w:sz="4" w:val="single"/>
            </w:tcBorders>
            <w:shd w:fill="auto" w:val="clear"/>
          </w:tcPr>
          <w:p w14:paraId="6A050000">
            <w:pPr>
              <w:ind/>
              <w:jc w:val="center"/>
              <w:rPr>
                <w:rFonts w:ascii="Times New Roman" w:hAnsi="Times New Roman"/>
                <w:sz w:val="28"/>
              </w:rPr>
            </w:pPr>
            <w:r>
              <w:rPr>
                <w:rFonts w:ascii="Times New Roman" w:hAnsi="Times New Roman"/>
                <w:sz w:val="28"/>
              </w:rPr>
              <w:t>100,0</w:t>
            </w:r>
          </w:p>
        </w:tc>
      </w:tr>
      <w:tr>
        <w:tc>
          <w:tcPr>
            <w:tcW w:type="dxa" w:w="562"/>
            <w:tcBorders>
              <w:top w:color="000000" w:sz="4" w:val="single"/>
              <w:left w:color="000000" w:sz="4" w:val="single"/>
              <w:bottom w:color="000000" w:sz="4" w:val="single"/>
              <w:right w:color="000000" w:sz="4" w:val="single"/>
            </w:tcBorders>
          </w:tcPr>
          <w:p w14:paraId="6B050000">
            <w:pPr>
              <w:ind/>
              <w:jc w:val="center"/>
              <w:rPr>
                <w:rFonts w:ascii="Times New Roman" w:hAnsi="Times New Roman"/>
                <w:sz w:val="28"/>
              </w:rPr>
            </w:pPr>
            <w:r>
              <w:rPr>
                <w:rFonts w:ascii="Times New Roman" w:hAnsi="Times New Roman"/>
                <w:sz w:val="28"/>
              </w:rPr>
              <w:t>10.</w:t>
            </w:r>
          </w:p>
        </w:tc>
        <w:tc>
          <w:tcPr>
            <w:tcW w:type="dxa" w:w="2698"/>
            <w:tcBorders>
              <w:top w:color="000000" w:sz="4" w:val="single"/>
              <w:left w:color="000000" w:sz="4" w:val="single"/>
              <w:bottom w:color="000000" w:sz="4" w:val="single"/>
              <w:right w:color="000000" w:sz="4" w:val="single"/>
            </w:tcBorders>
          </w:tcPr>
          <w:p w14:paraId="6C050000">
            <w:pPr>
              <w:rPr>
                <w:rFonts w:ascii="Times New Roman" w:hAnsi="Times New Roman"/>
                <w:color w:val="000000"/>
                <w:sz w:val="28"/>
              </w:rPr>
            </w:pPr>
            <w:r>
              <w:rPr>
                <w:rFonts w:ascii="Times New Roman" w:hAnsi="Times New Roman"/>
                <w:color w:val="000000"/>
                <w:sz w:val="28"/>
              </w:rPr>
              <w:t xml:space="preserve">Рынок оказания услуг по перевозке пассажиров автомобильным транспортом по муниципальным маршрутам регулярных перевозок </w:t>
            </w:r>
          </w:p>
        </w:tc>
        <w:tc>
          <w:tcPr>
            <w:tcW w:type="dxa" w:w="6379"/>
            <w:tcBorders>
              <w:top w:color="000000" w:sz="4" w:val="single"/>
              <w:left w:color="000000" w:sz="4" w:val="single"/>
              <w:bottom w:color="000000" w:sz="4" w:val="single"/>
              <w:right w:color="000000" w:sz="4" w:val="single"/>
            </w:tcBorders>
          </w:tcPr>
          <w:p w14:paraId="6D050000">
            <w:pPr>
              <w:rPr>
                <w:rFonts w:ascii="Times New Roman" w:hAnsi="Times New Roman"/>
                <w:color w:val="000000"/>
                <w:sz w:val="28"/>
              </w:rPr>
            </w:pPr>
            <w:r>
              <w:rPr>
                <w:rFonts w:ascii="Times New Roman" w:hAnsi="Times New Roman"/>
                <w:color w:val="000000"/>
                <w:sz w:val="28"/>
              </w:rPr>
              <w:t xml:space="preserve">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процентов </w:t>
            </w:r>
          </w:p>
        </w:tc>
        <w:tc>
          <w:tcPr>
            <w:tcW w:type="dxa" w:w="1984"/>
            <w:tcBorders>
              <w:top w:color="000000" w:sz="4" w:val="single"/>
              <w:left w:color="000000" w:sz="4" w:val="single"/>
              <w:bottom w:color="000000" w:sz="4" w:val="single"/>
              <w:right w:color="000000" w:sz="4" w:val="single"/>
            </w:tcBorders>
          </w:tcPr>
          <w:p w14:paraId="6E050000">
            <w:pPr>
              <w:ind/>
              <w:jc w:val="center"/>
              <w:rPr>
                <w:rFonts w:ascii="Times New Roman" w:hAnsi="Times New Roman"/>
                <w:color w:val="000000"/>
                <w:sz w:val="28"/>
              </w:rPr>
            </w:pPr>
            <w:r>
              <w:rPr>
                <w:rFonts w:ascii="Times New Roman" w:hAnsi="Times New Roman"/>
                <w:color w:val="000000"/>
                <w:sz w:val="28"/>
              </w:rPr>
              <w:t>64,0</w:t>
            </w:r>
          </w:p>
        </w:tc>
        <w:tc>
          <w:tcPr>
            <w:tcW w:type="dxa" w:w="1843"/>
            <w:tcBorders>
              <w:top w:color="000000" w:sz="4" w:val="single"/>
              <w:left w:color="000000" w:sz="4" w:val="single"/>
              <w:bottom w:color="000000" w:sz="4" w:val="single"/>
              <w:right w:color="000000" w:sz="4" w:val="single"/>
            </w:tcBorders>
            <w:shd w:fill="auto" w:val="clear"/>
          </w:tcPr>
          <w:p w14:paraId="6F050000">
            <w:pPr>
              <w:ind/>
              <w:jc w:val="center"/>
              <w:rPr>
                <w:rFonts w:ascii="Times New Roman" w:hAnsi="Times New Roman"/>
                <w:sz w:val="28"/>
              </w:rPr>
            </w:pPr>
            <w:r>
              <w:rPr>
                <w:rFonts w:ascii="Times New Roman" w:hAnsi="Times New Roman"/>
                <w:sz w:val="28"/>
              </w:rPr>
              <w:t>40,0</w:t>
            </w:r>
          </w:p>
        </w:tc>
        <w:tc>
          <w:tcPr>
            <w:tcW w:type="dxa" w:w="1701"/>
            <w:tcBorders>
              <w:top w:color="000000" w:sz="4" w:val="single"/>
              <w:left w:color="000000" w:sz="4" w:val="single"/>
              <w:bottom w:color="000000" w:sz="4" w:val="single"/>
              <w:right w:color="000000" w:sz="4" w:val="single"/>
            </w:tcBorders>
            <w:shd w:fill="auto" w:val="clear"/>
          </w:tcPr>
          <w:p w14:paraId="70050000">
            <w:pPr>
              <w:ind/>
              <w:jc w:val="center"/>
              <w:rPr>
                <w:rFonts w:ascii="Times New Roman" w:hAnsi="Times New Roman"/>
                <w:sz w:val="28"/>
              </w:rPr>
            </w:pPr>
            <w:r>
              <w:rPr>
                <w:rFonts w:ascii="Times New Roman" w:hAnsi="Times New Roman"/>
                <w:sz w:val="28"/>
              </w:rPr>
              <w:t>50,6</w:t>
            </w:r>
          </w:p>
        </w:tc>
      </w:tr>
      <w:tr>
        <w:tc>
          <w:tcPr>
            <w:tcW w:type="dxa" w:w="562"/>
            <w:tcBorders>
              <w:top w:color="000000" w:sz="4" w:val="single"/>
              <w:left w:color="000000" w:sz="4" w:val="single"/>
              <w:bottom w:color="000000" w:sz="4" w:val="single"/>
              <w:right w:color="000000" w:sz="4" w:val="single"/>
            </w:tcBorders>
          </w:tcPr>
          <w:p w14:paraId="71050000">
            <w:pPr>
              <w:ind/>
              <w:jc w:val="center"/>
              <w:rPr>
                <w:rFonts w:ascii="Times New Roman" w:hAnsi="Times New Roman"/>
                <w:sz w:val="28"/>
              </w:rPr>
            </w:pPr>
            <w:r>
              <w:rPr>
                <w:rFonts w:ascii="Times New Roman" w:hAnsi="Times New Roman"/>
                <w:sz w:val="28"/>
              </w:rPr>
              <w:t>11.</w:t>
            </w:r>
          </w:p>
        </w:tc>
        <w:tc>
          <w:tcPr>
            <w:tcW w:type="dxa" w:w="2698"/>
            <w:tcBorders>
              <w:top w:color="000000" w:sz="4" w:val="single"/>
              <w:left w:color="000000" w:sz="4" w:val="single"/>
              <w:bottom w:color="000000" w:sz="4" w:val="single"/>
              <w:right w:color="000000" w:sz="4" w:val="single"/>
            </w:tcBorders>
          </w:tcPr>
          <w:p w14:paraId="72050000">
            <w:pPr>
              <w:rPr>
                <w:rFonts w:ascii="Times New Roman" w:hAnsi="Times New Roman"/>
                <w:color w:val="000000"/>
                <w:sz w:val="28"/>
              </w:rPr>
            </w:pPr>
            <w:r>
              <w:rPr>
                <w:rFonts w:ascii="Times New Roman" w:hAnsi="Times New Roman"/>
                <w:color w:val="000000"/>
                <w:sz w:val="28"/>
              </w:rPr>
              <w:t xml:space="preserve">Рынок оказания услуг по ремонту автотранспортных средств </w:t>
            </w:r>
          </w:p>
        </w:tc>
        <w:tc>
          <w:tcPr>
            <w:tcW w:type="dxa" w:w="6379"/>
            <w:tcBorders>
              <w:top w:color="000000" w:sz="4" w:val="single"/>
              <w:left w:color="000000" w:sz="4" w:val="single"/>
              <w:bottom w:color="000000" w:sz="4" w:val="single"/>
              <w:right w:color="000000" w:sz="4" w:val="single"/>
            </w:tcBorders>
          </w:tcPr>
          <w:p w14:paraId="73050000">
            <w:pPr>
              <w:rPr>
                <w:rFonts w:ascii="Times New Roman" w:hAnsi="Times New Roman"/>
                <w:color w:val="000000"/>
                <w:sz w:val="28"/>
              </w:rPr>
            </w:pPr>
            <w:r>
              <w:rPr>
                <w:rFonts w:ascii="Times New Roman" w:hAnsi="Times New Roman"/>
                <w:color w:val="000000"/>
                <w:sz w:val="28"/>
              </w:rPr>
              <w:t xml:space="preserve">Доля организаций частной формы собственности в сфере оказания услуг по ремонту автотранспортных средств, процентов </w:t>
            </w:r>
          </w:p>
        </w:tc>
        <w:tc>
          <w:tcPr>
            <w:tcW w:type="dxa" w:w="1984"/>
            <w:tcBorders>
              <w:top w:color="000000" w:sz="4" w:val="single"/>
              <w:left w:color="000000" w:sz="4" w:val="single"/>
              <w:bottom w:color="000000" w:sz="4" w:val="single"/>
              <w:right w:color="000000" w:sz="4" w:val="single"/>
            </w:tcBorders>
          </w:tcPr>
          <w:p w14:paraId="74050000">
            <w:pPr>
              <w:ind/>
              <w:jc w:val="center"/>
              <w:rPr>
                <w:rFonts w:ascii="Times New Roman" w:hAnsi="Times New Roman"/>
                <w:color w:val="000000"/>
                <w:sz w:val="28"/>
              </w:rPr>
            </w:pPr>
            <w:r>
              <w:rPr>
                <w:rFonts w:ascii="Times New Roman" w:hAnsi="Times New Roman"/>
                <w:color w:val="000000"/>
                <w:sz w:val="28"/>
              </w:rPr>
              <w:t>100</w:t>
            </w:r>
          </w:p>
        </w:tc>
        <w:tc>
          <w:tcPr>
            <w:tcW w:type="dxa" w:w="1843"/>
            <w:tcBorders>
              <w:top w:color="000000" w:sz="4" w:val="single"/>
              <w:left w:color="000000" w:sz="4" w:val="single"/>
              <w:bottom w:color="000000" w:sz="4" w:val="single"/>
              <w:right w:color="000000" w:sz="4" w:val="single"/>
            </w:tcBorders>
            <w:shd w:fill="auto" w:val="clear"/>
          </w:tcPr>
          <w:p w14:paraId="75050000">
            <w:pPr>
              <w:ind/>
              <w:jc w:val="center"/>
              <w:rPr>
                <w:rFonts w:ascii="Times New Roman" w:hAnsi="Times New Roman"/>
                <w:sz w:val="28"/>
              </w:rPr>
            </w:pPr>
            <w:r>
              <w:rPr>
                <w:rFonts w:ascii="Times New Roman" w:hAnsi="Times New Roman"/>
                <w:sz w:val="28"/>
              </w:rPr>
              <w:t>99,9</w:t>
            </w:r>
          </w:p>
        </w:tc>
        <w:tc>
          <w:tcPr>
            <w:tcW w:type="dxa" w:w="1701"/>
            <w:tcBorders>
              <w:top w:color="000000" w:sz="4" w:val="single"/>
              <w:left w:color="000000" w:sz="4" w:val="single"/>
              <w:bottom w:color="000000" w:sz="4" w:val="single"/>
              <w:right w:color="000000" w:sz="4" w:val="single"/>
            </w:tcBorders>
            <w:shd w:fill="auto" w:val="clear"/>
          </w:tcPr>
          <w:p w14:paraId="76050000">
            <w:pPr>
              <w:ind/>
              <w:jc w:val="center"/>
              <w:rPr>
                <w:rFonts w:ascii="Times New Roman" w:hAnsi="Times New Roman"/>
                <w:sz w:val="28"/>
              </w:rPr>
            </w:pPr>
            <w:r>
              <w:rPr>
                <w:rFonts w:ascii="Times New Roman" w:hAnsi="Times New Roman"/>
                <w:sz w:val="28"/>
              </w:rPr>
              <w:t>100,0</w:t>
            </w:r>
          </w:p>
        </w:tc>
      </w:tr>
    </w:tbl>
    <w:p w14:paraId="77050000">
      <w:pPr>
        <w:rPr>
          <w:rFonts w:ascii="Times New Roman" w:hAnsi="Times New Roman"/>
          <w:sz w:val="28"/>
        </w:rPr>
      </w:pPr>
    </w:p>
    <w:p w14:paraId="78050000">
      <w:pPr>
        <w:sectPr>
          <w:footerReference r:id="rId1" w:type="default"/>
          <w:pgSz w:h="11906" w:orient="landscape" w:w="16838"/>
          <w:pgMar w:bottom="851" w:footer="709" w:gutter="0" w:header="709" w:left="567" w:right="567" w:top="1701"/>
        </w:sectPr>
      </w:pPr>
    </w:p>
    <w:p w14:paraId="79050000">
      <w:pPr>
        <w:pStyle w:val="Style_3"/>
        <w:spacing w:after="0" w:before="0" w:line="276" w:lineRule="auto"/>
        <w:ind w:firstLine="708" w:left="0"/>
        <w:jc w:val="both"/>
        <w:rPr>
          <w:sz w:val="28"/>
        </w:rPr>
      </w:pPr>
      <w:r>
        <w:rPr>
          <w:sz w:val="28"/>
        </w:rPr>
        <w:t xml:space="preserve">Количество показателей (индикаторов) развития конкурентной среды в </w:t>
      </w:r>
      <w:r>
        <w:rPr>
          <w:sz w:val="28"/>
        </w:rPr>
        <w:t>городе Волгодонске</w:t>
      </w:r>
      <w:r>
        <w:rPr>
          <w:sz w:val="28"/>
        </w:rPr>
        <w:t xml:space="preserve"> составляет </w:t>
      </w:r>
      <w:r>
        <w:rPr>
          <w:sz w:val="28"/>
        </w:rPr>
        <w:t>11</w:t>
      </w:r>
      <w:r>
        <w:rPr>
          <w:sz w:val="28"/>
        </w:rPr>
        <w:t>, из них не</w:t>
      </w:r>
      <w:r>
        <w:rPr>
          <w:sz w:val="28"/>
        </w:rPr>
        <w:t xml:space="preserve"> </w:t>
      </w:r>
      <w:r>
        <w:rPr>
          <w:sz w:val="28"/>
        </w:rPr>
        <w:t xml:space="preserve">исполнено </w:t>
      </w:r>
      <w:r>
        <w:rPr>
          <w:sz w:val="28"/>
        </w:rPr>
        <w:t>2</w:t>
      </w:r>
      <w:r>
        <w:rPr>
          <w:sz w:val="28"/>
        </w:rPr>
        <w:t xml:space="preserve">, что составляет </w:t>
      </w:r>
      <w:r>
        <w:rPr>
          <w:sz w:val="28"/>
        </w:rPr>
        <w:t>18,2</w:t>
      </w:r>
      <w:r>
        <w:rPr>
          <w:sz w:val="28"/>
        </w:rPr>
        <w:t>% от общего числа показателей.</w:t>
      </w:r>
    </w:p>
    <w:p w14:paraId="7A050000">
      <w:pPr>
        <w:pStyle w:val="Style_3"/>
        <w:spacing w:after="0" w:before="0" w:line="276" w:lineRule="auto"/>
        <w:ind w:firstLine="708" w:left="0"/>
        <w:jc w:val="both"/>
        <w:rPr>
          <w:sz w:val="28"/>
        </w:rPr>
      </w:pPr>
      <w:r>
        <w:rPr>
          <w:sz w:val="28"/>
        </w:rPr>
        <w:t>Основное неисполнение приходится на показатели</w:t>
      </w:r>
      <w:r>
        <w:rPr>
          <w:sz w:val="28"/>
        </w:rPr>
        <w:t>:</w:t>
      </w:r>
    </w:p>
    <w:p w14:paraId="7B050000">
      <w:pPr>
        <w:pStyle w:val="Style_3"/>
        <w:spacing w:after="0" w:before="0" w:line="276" w:lineRule="auto"/>
        <w:ind w:firstLine="708" w:left="0"/>
        <w:jc w:val="both"/>
        <w:rPr>
          <w:sz w:val="28"/>
        </w:rPr>
      </w:pPr>
      <w:r>
        <w:rPr>
          <w:sz w:val="28"/>
        </w:rPr>
        <w:t>-</w:t>
      </w:r>
      <w:r>
        <w:rPr>
          <w:sz w:val="28"/>
        </w:rPr>
        <w:t xml:space="preserve"> </w:t>
      </w:r>
      <w:r>
        <w:rPr>
          <w:sz w:val="28"/>
        </w:rPr>
        <w:t>«Число медицинских организаций,  включенных в реестр медицинских организаций, осуществляющих деятельность в сфере обязательного медицинского страхования на территории муниципального образования «Город Волгодонск»</w:t>
      </w:r>
      <w:r>
        <w:rPr>
          <w:sz w:val="28"/>
        </w:rPr>
        <w:t xml:space="preserve"> (неисполнение связано</w:t>
      </w:r>
      <w:r>
        <w:rPr>
          <w:sz w:val="28"/>
        </w:rPr>
        <w:t xml:space="preserve"> с отсутствием в 2021 году заявлений от негосударственных медицинских организаций, оказывающих медицинские услуги населению в городе Волгодонске в территориальную программу обязательного медицинского страхования</w:t>
      </w:r>
      <w:r>
        <w:rPr>
          <w:sz w:val="28"/>
        </w:rPr>
        <w:t>).</w:t>
      </w:r>
    </w:p>
    <w:p w14:paraId="7C050000">
      <w:pPr>
        <w:pStyle w:val="Style_3"/>
        <w:spacing w:after="0" w:before="0" w:line="276" w:lineRule="auto"/>
        <w:ind w:firstLine="708" w:left="0"/>
        <w:jc w:val="both"/>
        <w:rPr>
          <w:sz w:val="28"/>
        </w:rPr>
      </w:pPr>
      <w:r>
        <w:rPr>
          <w:sz w:val="28"/>
        </w:rPr>
        <w:t xml:space="preserve">- </w:t>
      </w:r>
      <w:r>
        <w:rPr>
          <w:sz w:val="28"/>
        </w:rPr>
        <w:t xml:space="preserve">«Число </w:t>
      </w:r>
      <w:r>
        <w:rPr>
          <w:sz w:val="28"/>
        </w:rPr>
        <w:t>организаций отдыха и оздоровления детей частной формы собственности» (</w:t>
      </w:r>
      <w:r>
        <w:rPr>
          <w:sz w:val="28"/>
        </w:rPr>
        <w:t>в</w:t>
      </w:r>
      <w:r>
        <w:rPr>
          <w:sz w:val="28"/>
        </w:rPr>
        <w:t xml:space="preserve"> 2021 году на ход </w:t>
      </w:r>
      <w:r>
        <w:rPr>
          <w:sz w:val="28"/>
        </w:rPr>
        <w:t>исполнения показателя</w:t>
      </w:r>
      <w:r>
        <w:rPr>
          <w:sz w:val="28"/>
        </w:rPr>
        <w:t xml:space="preserve"> оказало существенное влияние введение ограничительных мер, связанных с предотвращением распространения новой коронавирусной инфекции COVID-19</w:t>
      </w:r>
      <w:r>
        <w:rPr>
          <w:sz w:val="28"/>
        </w:rPr>
        <w:t>)</w:t>
      </w:r>
      <w:r>
        <w:rPr>
          <w:sz w:val="28"/>
        </w:rPr>
        <w:t>.</w:t>
      </w:r>
    </w:p>
    <w:p w14:paraId="7D050000">
      <w:pPr>
        <w:pStyle w:val="Style_3"/>
        <w:spacing w:after="0" w:before="0" w:line="276" w:lineRule="auto"/>
        <w:ind w:firstLine="708" w:left="0"/>
        <w:jc w:val="both"/>
        <w:rPr>
          <w:sz w:val="28"/>
        </w:rPr>
      </w:pPr>
    </w:p>
    <w:p w14:paraId="7E050000">
      <w:pPr>
        <w:pStyle w:val="Style_3"/>
        <w:spacing w:after="0" w:before="0" w:line="276" w:lineRule="auto"/>
        <w:ind w:firstLine="708" w:left="0"/>
        <w:jc w:val="both"/>
        <w:rPr>
          <w:sz w:val="28"/>
        </w:rPr>
      </w:pPr>
    </w:p>
    <w:p w14:paraId="7F050000">
      <w:pPr>
        <w:pStyle w:val="Style_3"/>
        <w:spacing w:after="0" w:before="0" w:line="276" w:lineRule="auto"/>
        <w:ind w:firstLine="708" w:left="0"/>
        <w:jc w:val="both"/>
        <w:rPr>
          <w:sz w:val="28"/>
        </w:rPr>
      </w:pPr>
    </w:p>
    <w:p w14:paraId="80050000">
      <w:pPr>
        <w:pStyle w:val="Style_3"/>
        <w:spacing w:after="0" w:before="0" w:line="276" w:lineRule="auto"/>
        <w:ind w:firstLine="708" w:left="0"/>
        <w:jc w:val="both"/>
        <w:rPr>
          <w:sz w:val="28"/>
        </w:rPr>
      </w:pPr>
    </w:p>
    <w:p w14:paraId="81050000">
      <w:pPr>
        <w:pStyle w:val="Style_3"/>
        <w:spacing w:after="0" w:before="0" w:line="276" w:lineRule="auto"/>
        <w:ind w:firstLine="708" w:left="0"/>
        <w:jc w:val="both"/>
        <w:rPr>
          <w:sz w:val="28"/>
        </w:rPr>
      </w:pPr>
    </w:p>
    <w:p w14:paraId="82050000">
      <w:pPr>
        <w:pStyle w:val="Style_3"/>
        <w:spacing w:after="0" w:before="0" w:line="276" w:lineRule="auto"/>
        <w:ind w:firstLine="708" w:left="0"/>
        <w:jc w:val="both"/>
        <w:rPr>
          <w:sz w:val="28"/>
        </w:rPr>
      </w:pPr>
    </w:p>
    <w:p w14:paraId="83050000">
      <w:pPr>
        <w:pStyle w:val="Style_3"/>
        <w:spacing w:after="0" w:before="0" w:line="276" w:lineRule="auto"/>
        <w:ind w:firstLine="708" w:left="0"/>
        <w:jc w:val="both"/>
        <w:rPr>
          <w:sz w:val="28"/>
        </w:rPr>
      </w:pPr>
    </w:p>
    <w:p w14:paraId="84050000">
      <w:pPr>
        <w:pStyle w:val="Style_3"/>
        <w:spacing w:after="0" w:before="0" w:line="276" w:lineRule="auto"/>
        <w:ind w:firstLine="708" w:left="0"/>
        <w:jc w:val="both"/>
        <w:rPr>
          <w:sz w:val="28"/>
        </w:rPr>
      </w:pPr>
    </w:p>
    <w:p w14:paraId="85050000">
      <w:pPr>
        <w:pStyle w:val="Style_3"/>
        <w:spacing w:after="0" w:before="0" w:line="276" w:lineRule="auto"/>
        <w:ind w:firstLine="708" w:left="0"/>
        <w:jc w:val="both"/>
        <w:rPr>
          <w:sz w:val="28"/>
        </w:rPr>
      </w:pPr>
    </w:p>
    <w:p w14:paraId="86050000">
      <w:pPr>
        <w:pStyle w:val="Style_3"/>
        <w:spacing w:after="0" w:before="0" w:line="276" w:lineRule="auto"/>
        <w:ind w:firstLine="708" w:left="0"/>
        <w:jc w:val="both"/>
        <w:rPr>
          <w:sz w:val="28"/>
        </w:rPr>
      </w:pPr>
    </w:p>
    <w:p w14:paraId="87050000">
      <w:pPr>
        <w:pStyle w:val="Style_3"/>
        <w:spacing w:after="0" w:before="0" w:line="276" w:lineRule="auto"/>
        <w:ind w:firstLine="708" w:left="0"/>
        <w:jc w:val="both"/>
        <w:rPr>
          <w:sz w:val="28"/>
        </w:rPr>
      </w:pPr>
    </w:p>
    <w:p w14:paraId="88050000">
      <w:pPr>
        <w:pStyle w:val="Style_3"/>
        <w:spacing w:after="0" w:before="0" w:line="276" w:lineRule="auto"/>
        <w:ind w:firstLine="708" w:left="0"/>
        <w:jc w:val="both"/>
        <w:rPr>
          <w:sz w:val="28"/>
        </w:rPr>
      </w:pPr>
    </w:p>
    <w:p w14:paraId="89050000">
      <w:pPr>
        <w:pStyle w:val="Style_3"/>
        <w:spacing w:after="0" w:before="0" w:line="276" w:lineRule="auto"/>
        <w:ind w:firstLine="708" w:left="0"/>
        <w:jc w:val="both"/>
        <w:rPr>
          <w:sz w:val="28"/>
        </w:rPr>
      </w:pPr>
    </w:p>
    <w:p w14:paraId="8A050000">
      <w:pPr>
        <w:pStyle w:val="Style_3"/>
        <w:spacing w:after="0" w:before="0" w:line="276" w:lineRule="auto"/>
        <w:ind w:firstLine="708" w:left="0"/>
        <w:jc w:val="both"/>
        <w:rPr>
          <w:sz w:val="28"/>
        </w:rPr>
      </w:pPr>
    </w:p>
    <w:p w14:paraId="8B050000">
      <w:pPr>
        <w:pStyle w:val="Style_3"/>
        <w:spacing w:after="0" w:before="0" w:line="276" w:lineRule="auto"/>
        <w:ind w:firstLine="708" w:left="0"/>
        <w:jc w:val="both"/>
        <w:rPr>
          <w:sz w:val="28"/>
        </w:rPr>
      </w:pPr>
    </w:p>
    <w:p w14:paraId="8C050000">
      <w:pPr>
        <w:pStyle w:val="Style_3"/>
        <w:spacing w:after="0" w:before="0" w:line="276" w:lineRule="auto"/>
        <w:ind w:firstLine="708" w:left="0"/>
        <w:jc w:val="both"/>
        <w:rPr>
          <w:sz w:val="28"/>
        </w:rPr>
      </w:pPr>
    </w:p>
    <w:p w14:paraId="8D050000">
      <w:pPr>
        <w:pStyle w:val="Style_3"/>
        <w:spacing w:after="0" w:before="0" w:line="276" w:lineRule="auto"/>
        <w:ind w:firstLine="708" w:left="0"/>
        <w:jc w:val="both"/>
        <w:rPr>
          <w:sz w:val="28"/>
        </w:rPr>
      </w:pPr>
    </w:p>
    <w:p w14:paraId="8E050000">
      <w:pPr>
        <w:pStyle w:val="Style_3"/>
        <w:spacing w:after="0" w:before="0" w:line="276" w:lineRule="auto"/>
        <w:ind w:firstLine="708" w:left="0"/>
        <w:jc w:val="both"/>
        <w:rPr>
          <w:sz w:val="28"/>
        </w:rPr>
      </w:pPr>
    </w:p>
    <w:p w14:paraId="8F050000">
      <w:pPr>
        <w:pStyle w:val="Style_3"/>
        <w:spacing w:after="0" w:before="0" w:line="276" w:lineRule="auto"/>
        <w:ind w:firstLine="708" w:left="0"/>
        <w:jc w:val="both"/>
        <w:rPr>
          <w:sz w:val="28"/>
        </w:rPr>
      </w:pPr>
    </w:p>
    <w:p w14:paraId="90050000">
      <w:pPr>
        <w:pStyle w:val="Style_3"/>
        <w:spacing w:after="0" w:before="0" w:line="276" w:lineRule="auto"/>
        <w:ind w:firstLine="708" w:left="0"/>
        <w:jc w:val="both"/>
        <w:rPr>
          <w:sz w:val="28"/>
        </w:rPr>
      </w:pPr>
    </w:p>
    <w:p w14:paraId="91050000">
      <w:pPr>
        <w:pStyle w:val="Style_3"/>
        <w:spacing w:after="0" w:before="0" w:line="276" w:lineRule="auto"/>
        <w:ind w:firstLine="708" w:left="0"/>
        <w:jc w:val="both"/>
        <w:rPr>
          <w:sz w:val="28"/>
        </w:rPr>
      </w:pPr>
    </w:p>
    <w:p w14:paraId="92050000">
      <w:pPr>
        <w:pStyle w:val="Style_3"/>
        <w:spacing w:after="0" w:before="0" w:line="276" w:lineRule="auto"/>
        <w:ind w:firstLine="708" w:left="0"/>
        <w:jc w:val="both"/>
        <w:rPr>
          <w:sz w:val="28"/>
        </w:rPr>
      </w:pPr>
    </w:p>
    <w:p w14:paraId="93050000">
      <w:pPr>
        <w:pStyle w:val="Style_3"/>
        <w:spacing w:after="0" w:before="0" w:line="276" w:lineRule="auto"/>
        <w:ind w:firstLine="708" w:left="0"/>
        <w:jc w:val="both"/>
        <w:rPr>
          <w:sz w:val="28"/>
        </w:rPr>
      </w:pPr>
    </w:p>
    <w:p w14:paraId="94050000">
      <w:pPr>
        <w:pStyle w:val="Style_3"/>
        <w:spacing w:after="0" w:before="0" w:line="276" w:lineRule="auto"/>
        <w:ind w:firstLine="708" w:left="0"/>
        <w:jc w:val="both"/>
        <w:rPr>
          <w:sz w:val="28"/>
        </w:rPr>
      </w:pPr>
    </w:p>
    <w:p w14:paraId="95050000">
      <w:pPr>
        <w:pStyle w:val="Style_3"/>
        <w:spacing w:after="0" w:before="0" w:line="276" w:lineRule="auto"/>
        <w:ind w:firstLine="708" w:left="0"/>
        <w:jc w:val="both"/>
        <w:rPr>
          <w:sz w:val="28"/>
        </w:rPr>
      </w:pPr>
    </w:p>
    <w:p w14:paraId="96050000">
      <w:pPr>
        <w:pStyle w:val="Style_3"/>
        <w:spacing w:after="0" w:before="0" w:line="276" w:lineRule="auto"/>
        <w:ind w:firstLine="708" w:left="0"/>
        <w:jc w:val="both"/>
        <w:rPr>
          <w:sz w:val="28"/>
        </w:rPr>
      </w:pPr>
    </w:p>
    <w:p w14:paraId="97050000">
      <w:pPr>
        <w:pStyle w:val="Style_3"/>
        <w:spacing w:after="0" w:before="0" w:line="276" w:lineRule="auto"/>
        <w:ind w:firstLine="708" w:left="0"/>
        <w:jc w:val="both"/>
        <w:rPr>
          <w:sz w:val="28"/>
        </w:rPr>
      </w:pPr>
    </w:p>
    <w:sectPr>
      <w:footerReference r:id="rId3" w:type="default"/>
      <w:pgSz w:h="16838" w:orient="portrait" w:w="11906"/>
      <w:pgMar w:bottom="567" w:footer="709" w:gutter="0" w:header="709" w:left="1134" w:right="1701" w:top="567"/>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rPr>
        <w:rFonts w:ascii="Times New Roman" w:hAnsi="Times New Roman"/>
        <w:sz w:val="16"/>
      </w:rPr>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2000000">
    <w:pPr>
      <w:pStyle w:val="Style_1"/>
      <w:ind/>
      <w:jc w:val="right"/>
      <w:rPr>
        <w:rFonts w:ascii="Times New Roman" w:hAnsi="Times New Roman"/>
        <w:sz w:val="16"/>
      </w:rPr>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3000000">
    <w:pPr>
      <w:pStyle w:val="Style_1"/>
      <w:ind/>
      <w:jc w:val="right"/>
      <w:rPr>
        <w:rFonts w:ascii="Times New Roman" w:hAnsi="Times New Roman"/>
        <w:sz w:val="16"/>
      </w:rPr>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1">
    <w:lvl w:ilvl="0">
      <w:start w:val="0"/>
      <w:numFmt w:val="bullet"/>
      <w:lvlText w:val=""/>
      <w:lvlJc w:val="left"/>
      <w:pPr>
        <w:ind w:hanging="284" w:left="101"/>
      </w:pPr>
      <w:rPr>
        <w:rFonts w:ascii="Symbol" w:hAnsi="Symbol"/>
        <w:sz w:val="28"/>
      </w:rPr>
    </w:lvl>
    <w:lvl w:ilvl="1">
      <w:start w:val="0"/>
      <w:numFmt w:val="bullet"/>
      <w:lvlText w:val="•"/>
      <w:lvlJc w:val="left"/>
      <w:pPr>
        <w:ind w:hanging="284" w:left="1046"/>
      </w:pPr>
    </w:lvl>
    <w:lvl w:ilvl="2">
      <w:start w:val="0"/>
      <w:numFmt w:val="bullet"/>
      <w:lvlText w:val="•"/>
      <w:lvlJc w:val="left"/>
      <w:pPr>
        <w:ind w:hanging="284" w:left="1993"/>
      </w:pPr>
    </w:lvl>
    <w:lvl w:ilvl="3">
      <w:start w:val="0"/>
      <w:numFmt w:val="bullet"/>
      <w:lvlText w:val="•"/>
      <w:lvlJc w:val="left"/>
      <w:pPr>
        <w:ind w:hanging="284" w:left="2939"/>
      </w:pPr>
    </w:lvl>
    <w:lvl w:ilvl="4">
      <w:start w:val="0"/>
      <w:numFmt w:val="bullet"/>
      <w:lvlText w:val="•"/>
      <w:lvlJc w:val="left"/>
      <w:pPr>
        <w:ind w:hanging="284" w:left="3886"/>
      </w:pPr>
    </w:lvl>
    <w:lvl w:ilvl="5">
      <w:start w:val="0"/>
      <w:numFmt w:val="bullet"/>
      <w:lvlText w:val="•"/>
      <w:lvlJc w:val="left"/>
      <w:pPr>
        <w:ind w:hanging="284" w:left="4833"/>
      </w:pPr>
    </w:lvl>
    <w:lvl w:ilvl="6">
      <w:start w:val="0"/>
      <w:numFmt w:val="bullet"/>
      <w:lvlText w:val="•"/>
      <w:lvlJc w:val="left"/>
      <w:pPr>
        <w:ind w:hanging="284" w:left="5779"/>
      </w:pPr>
    </w:lvl>
    <w:lvl w:ilvl="7">
      <w:start w:val="0"/>
      <w:numFmt w:val="bullet"/>
      <w:lvlText w:val="•"/>
      <w:lvlJc w:val="left"/>
      <w:pPr>
        <w:ind w:hanging="284" w:left="6726"/>
      </w:pPr>
    </w:lvl>
    <w:lvl w:ilvl="8">
      <w:start w:val="0"/>
      <w:numFmt w:val="bullet"/>
      <w:lvlText w:val="•"/>
      <w:lvlJc w:val="left"/>
      <w:pPr>
        <w:ind w:hanging="284" w:left="7672"/>
      </w:p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0" w:type="paragraph">
    <w:name w:val="Normal"/>
    <w:link w:val="Style_20_ch"/>
    <w:uiPriority w:val="0"/>
    <w:qFormat/>
    <w:pPr>
      <w:spacing w:after="200" w:line="276" w:lineRule="auto"/>
      <w:ind/>
    </w:pPr>
    <w:rPr>
      <w:sz w:val="22"/>
    </w:rPr>
  </w:style>
  <w:style w:default="1" w:styleId="Style_20_ch" w:type="character">
    <w:name w:val="Normal"/>
    <w:link w:val="Style_20"/>
    <w:rPr>
      <w:sz w:val="22"/>
    </w:rPr>
  </w:style>
  <w:style w:styleId="Style_21" w:type="paragraph">
    <w:name w:val="Header or footer + Book Antiqua;9;5 pt;Spacing 1 pt"/>
    <w:link w:val="Style_21_ch"/>
    <w:rPr>
      <w:rFonts w:ascii="Book Antiqua" w:hAnsi="Book Antiqua"/>
      <w:spacing w:val="20"/>
      <w:sz w:val="19"/>
      <w:highlight w:val="white"/>
    </w:rPr>
  </w:style>
  <w:style w:styleId="Style_21_ch" w:type="character">
    <w:name w:val="Header or footer + Book Antiqua;9;5 pt;Spacing 1 pt"/>
    <w:link w:val="Style_21"/>
    <w:rPr>
      <w:rFonts w:ascii="Book Antiqua" w:hAnsi="Book Antiqua"/>
      <w:spacing w:val="20"/>
      <w:sz w:val="19"/>
      <w:highlight w:val="white"/>
    </w:rPr>
  </w:style>
  <w:style w:styleId="Style_22" w:type="paragraph">
    <w:name w:val="toc 2"/>
    <w:basedOn w:val="Style_20"/>
    <w:next w:val="Style_20"/>
    <w:link w:val="Style_22_ch"/>
    <w:uiPriority w:val="39"/>
    <w:pPr>
      <w:spacing w:after="100"/>
      <w:ind w:firstLine="0" w:left="220"/>
    </w:pPr>
  </w:style>
  <w:style w:styleId="Style_22_ch" w:type="character">
    <w:name w:val="toc 2"/>
    <w:basedOn w:val="Style_20_ch"/>
    <w:link w:val="Style_22"/>
  </w:style>
  <w:style w:styleId="Style_23" w:type="paragraph">
    <w:name w:val="Header or footer"/>
    <w:basedOn w:val="Style_20"/>
    <w:link w:val="Style_23_ch"/>
    <w:pPr>
      <w:spacing w:after="0" w:line="240" w:lineRule="auto"/>
      <w:ind/>
    </w:pPr>
    <w:rPr>
      <w:rFonts w:ascii="Times New Roman" w:hAnsi="Times New Roman"/>
      <w:sz w:val="20"/>
    </w:rPr>
  </w:style>
  <w:style w:styleId="Style_23_ch" w:type="character">
    <w:name w:val="Header or footer"/>
    <w:basedOn w:val="Style_20_ch"/>
    <w:link w:val="Style_23"/>
    <w:rPr>
      <w:rFonts w:ascii="Times New Roman" w:hAnsi="Times New Roman"/>
      <w:sz w:val="20"/>
    </w:rPr>
  </w:style>
  <w:style w:styleId="Style_24" w:type="paragraph">
    <w:name w:val="Default Paragraph Font"/>
    <w:link w:val="Style_24_ch"/>
  </w:style>
  <w:style w:styleId="Style_24_ch" w:type="character">
    <w:name w:val="Default Paragraph Font"/>
    <w:link w:val="Style_24"/>
  </w:style>
  <w:style w:styleId="Style_25" w:type="paragraph">
    <w:name w:val="toc 4"/>
    <w:next w:val="Style_20"/>
    <w:link w:val="Style_25_ch"/>
    <w:uiPriority w:val="39"/>
    <w:pPr>
      <w:ind w:firstLine="0" w:left="600"/>
      <w:jc w:val="left"/>
    </w:pPr>
    <w:rPr>
      <w:rFonts w:ascii="XO Thames" w:hAnsi="XO Thames"/>
      <w:sz w:val="28"/>
    </w:rPr>
  </w:style>
  <w:style w:styleId="Style_25_ch" w:type="character">
    <w:name w:val="toc 4"/>
    <w:link w:val="Style_25"/>
    <w:rPr>
      <w:rFonts w:ascii="XO Thames" w:hAnsi="XO Thames"/>
      <w:sz w:val="28"/>
    </w:rPr>
  </w:style>
  <w:style w:styleId="Style_26" w:type="paragraph">
    <w:name w:val="annotation reference"/>
    <w:link w:val="Style_26_ch"/>
    <w:rPr>
      <w:sz w:val="16"/>
    </w:rPr>
  </w:style>
  <w:style w:styleId="Style_26_ch" w:type="character">
    <w:name w:val="annotation reference"/>
    <w:link w:val="Style_26"/>
    <w:rPr>
      <w:sz w:val="16"/>
    </w:rPr>
  </w:style>
  <w:style w:styleId="Style_8" w:type="paragraph">
    <w:name w:val="Body Text Indent"/>
    <w:basedOn w:val="Style_20"/>
    <w:link w:val="Style_8_ch"/>
    <w:pPr>
      <w:spacing w:after="120" w:line="240" w:lineRule="auto"/>
      <w:ind w:firstLine="0" w:left="283"/>
    </w:pPr>
    <w:rPr>
      <w:rFonts w:ascii="Times New Roman" w:hAnsi="Times New Roman"/>
      <w:sz w:val="24"/>
    </w:rPr>
  </w:style>
  <w:style w:styleId="Style_8_ch" w:type="character">
    <w:name w:val="Body Text Indent"/>
    <w:basedOn w:val="Style_20_ch"/>
    <w:link w:val="Style_8"/>
    <w:rPr>
      <w:rFonts w:ascii="Times New Roman" w:hAnsi="Times New Roman"/>
      <w:sz w:val="24"/>
    </w:rPr>
  </w:style>
  <w:style w:styleId="Style_27" w:type="paragraph">
    <w:name w:val="toc 6"/>
    <w:next w:val="Style_20"/>
    <w:link w:val="Style_27_ch"/>
    <w:uiPriority w:val="39"/>
    <w:pPr>
      <w:ind w:firstLine="0" w:left="1000"/>
      <w:jc w:val="left"/>
    </w:pPr>
    <w:rPr>
      <w:rFonts w:ascii="XO Thames" w:hAnsi="XO Thames"/>
      <w:sz w:val="28"/>
    </w:rPr>
  </w:style>
  <w:style w:styleId="Style_27_ch" w:type="character">
    <w:name w:val="toc 6"/>
    <w:link w:val="Style_27"/>
    <w:rPr>
      <w:rFonts w:ascii="XO Thames" w:hAnsi="XO Thames"/>
      <w:sz w:val="28"/>
    </w:rPr>
  </w:style>
  <w:style w:styleId="Style_28" w:type="paragraph">
    <w:name w:val="toc 7"/>
    <w:next w:val="Style_20"/>
    <w:link w:val="Style_28_ch"/>
    <w:uiPriority w:val="39"/>
    <w:pPr>
      <w:ind w:firstLine="0" w:left="1200"/>
      <w:jc w:val="left"/>
    </w:pPr>
    <w:rPr>
      <w:rFonts w:ascii="XO Thames" w:hAnsi="XO Thames"/>
      <w:sz w:val="28"/>
    </w:rPr>
  </w:style>
  <w:style w:styleId="Style_28_ch" w:type="character">
    <w:name w:val="toc 7"/>
    <w:link w:val="Style_28"/>
    <w:rPr>
      <w:rFonts w:ascii="XO Thames" w:hAnsi="XO Thames"/>
      <w:sz w:val="28"/>
    </w:rPr>
  </w:style>
  <w:style w:styleId="Style_17" w:type="paragraph">
    <w:name w:val="ConsPlusNormal"/>
    <w:link w:val="Style_17_ch"/>
    <w:rPr>
      <w:rFonts w:ascii="Times New Roman" w:hAnsi="Times New Roman"/>
      <w:sz w:val="28"/>
    </w:rPr>
  </w:style>
  <w:style w:styleId="Style_17_ch" w:type="character">
    <w:name w:val="ConsPlusNormal"/>
    <w:link w:val="Style_17"/>
    <w:rPr>
      <w:rFonts w:ascii="Times New Roman" w:hAnsi="Times New Roman"/>
      <w:sz w:val="28"/>
    </w:rPr>
  </w:style>
  <w:style w:styleId="Style_29" w:type="paragraph">
    <w:name w:val="extended-text__short"/>
    <w:basedOn w:val="Style_24"/>
    <w:link w:val="Style_29_ch"/>
  </w:style>
  <w:style w:styleId="Style_29_ch" w:type="character">
    <w:name w:val="extended-text__short"/>
    <w:basedOn w:val="Style_24_ch"/>
    <w:link w:val="Style_29"/>
  </w:style>
  <w:style w:styleId="Style_14" w:type="paragraph">
    <w:name w:val="heading 3"/>
    <w:basedOn w:val="Style_20"/>
    <w:next w:val="Style_20"/>
    <w:link w:val="Style_14_ch"/>
    <w:uiPriority w:val="9"/>
    <w:qFormat/>
    <w:pPr>
      <w:keepNext w:val="1"/>
      <w:keepLines w:val="1"/>
      <w:spacing w:after="0" w:before="200"/>
      <w:ind/>
      <w:outlineLvl w:val="2"/>
    </w:pPr>
    <w:rPr>
      <w:rFonts w:ascii="Cambria" w:hAnsi="Cambria"/>
      <w:b w:val="1"/>
      <w:color w:val="4F81BD"/>
      <w:sz w:val="20"/>
    </w:rPr>
  </w:style>
  <w:style w:styleId="Style_14_ch" w:type="character">
    <w:name w:val="heading 3"/>
    <w:basedOn w:val="Style_20_ch"/>
    <w:link w:val="Style_14"/>
    <w:rPr>
      <w:rFonts w:ascii="Cambria" w:hAnsi="Cambria"/>
      <w:b w:val="1"/>
      <w:color w:val="4F81BD"/>
      <w:sz w:val="20"/>
    </w:rPr>
  </w:style>
  <w:style w:styleId="Style_30" w:type="paragraph">
    <w:name w:val="paragraph"/>
    <w:basedOn w:val="Style_20"/>
    <w:link w:val="Style_30_ch"/>
    <w:pPr>
      <w:spacing w:afterAutospacing="on" w:beforeAutospacing="on" w:line="240" w:lineRule="auto"/>
      <w:ind/>
    </w:pPr>
    <w:rPr>
      <w:rFonts w:ascii="Times New Roman" w:hAnsi="Times New Roman"/>
      <w:sz w:val="24"/>
    </w:rPr>
  </w:style>
  <w:style w:styleId="Style_30_ch" w:type="character">
    <w:name w:val="paragraph"/>
    <w:basedOn w:val="Style_20_ch"/>
    <w:link w:val="Style_30"/>
    <w:rPr>
      <w:rFonts w:ascii="Times New Roman" w:hAnsi="Times New Roman"/>
      <w:sz w:val="24"/>
    </w:rPr>
  </w:style>
  <w:style w:styleId="Style_31" w:type="paragraph">
    <w:name w:val="footnote reference"/>
    <w:link w:val="Style_31_ch"/>
    <w:rPr>
      <w:vertAlign w:val="superscript"/>
    </w:rPr>
  </w:style>
  <w:style w:styleId="Style_31_ch" w:type="character">
    <w:name w:val="footnote reference"/>
    <w:link w:val="Style_31"/>
    <w:rPr>
      <w:vertAlign w:val="superscript"/>
    </w:rPr>
  </w:style>
  <w:style w:styleId="Style_32" w:type="paragraph">
    <w:name w:val="Body Text"/>
    <w:basedOn w:val="Style_20"/>
    <w:link w:val="Style_32_ch"/>
    <w:pPr>
      <w:spacing w:after="120"/>
      <w:ind/>
    </w:pPr>
  </w:style>
  <w:style w:styleId="Style_32_ch" w:type="character">
    <w:name w:val="Body Text"/>
    <w:basedOn w:val="Style_20_ch"/>
    <w:link w:val="Style_32"/>
  </w:style>
  <w:style w:styleId="Style_33" w:type="paragraph">
    <w:name w:val="D Osn text"/>
    <w:basedOn w:val="Style_20"/>
    <w:link w:val="Style_33_ch"/>
    <w:pPr>
      <w:spacing w:after="120" w:line="336" w:lineRule="auto"/>
      <w:ind w:firstLine="567" w:left="0"/>
      <w:jc w:val="both"/>
    </w:pPr>
    <w:rPr>
      <w:rFonts w:ascii="Times New Roman" w:hAnsi="Times New Roman"/>
      <w:sz w:val="24"/>
    </w:rPr>
  </w:style>
  <w:style w:styleId="Style_33_ch" w:type="character">
    <w:name w:val="D Osn text"/>
    <w:basedOn w:val="Style_20_ch"/>
    <w:link w:val="Style_33"/>
    <w:rPr>
      <w:rFonts w:ascii="Times New Roman" w:hAnsi="Times New Roman"/>
      <w:sz w:val="24"/>
    </w:rPr>
  </w:style>
  <w:style w:styleId="Style_7" w:type="paragraph">
    <w:name w:val="заголовок МФЦ"/>
    <w:basedOn w:val="Style_20"/>
    <w:link w:val="Style_7_ch"/>
    <w:pPr>
      <w:spacing w:after="0" w:line="240" w:lineRule="auto"/>
      <w:ind/>
    </w:pPr>
    <w:rPr>
      <w:rFonts w:ascii="Arial" w:hAnsi="Arial"/>
      <w:color w:val="000000"/>
      <w:sz w:val="28"/>
    </w:rPr>
  </w:style>
  <w:style w:styleId="Style_7_ch" w:type="character">
    <w:name w:val="заголовок МФЦ"/>
    <w:basedOn w:val="Style_20_ch"/>
    <w:link w:val="Style_7"/>
    <w:rPr>
      <w:rFonts w:ascii="Arial" w:hAnsi="Arial"/>
      <w:color w:val="000000"/>
      <w:sz w:val="28"/>
    </w:rPr>
  </w:style>
  <w:style w:styleId="Style_15" w:type="paragraph">
    <w:name w:val="caption"/>
    <w:basedOn w:val="Style_20"/>
    <w:next w:val="Style_20"/>
    <w:link w:val="Style_15_ch"/>
    <w:pPr>
      <w:spacing w:after="0" w:line="240" w:lineRule="auto"/>
      <w:ind/>
      <w:jc w:val="center"/>
    </w:pPr>
    <w:rPr>
      <w:rFonts w:ascii="Times New Roman" w:hAnsi="Times New Roman"/>
      <w:sz w:val="24"/>
    </w:rPr>
  </w:style>
  <w:style w:styleId="Style_15_ch" w:type="character">
    <w:name w:val="caption"/>
    <w:basedOn w:val="Style_20_ch"/>
    <w:link w:val="Style_15"/>
    <w:rPr>
      <w:rFonts w:ascii="Times New Roman" w:hAnsi="Times New Roman"/>
      <w:sz w:val="24"/>
    </w:rPr>
  </w:style>
  <w:style w:styleId="Style_34" w:type="paragraph">
    <w:name w:val="apple-converted-space"/>
    <w:basedOn w:val="Style_24"/>
    <w:link w:val="Style_34_ch"/>
  </w:style>
  <w:style w:styleId="Style_34_ch" w:type="character">
    <w:name w:val="apple-converted-space"/>
    <w:basedOn w:val="Style_24_ch"/>
    <w:link w:val="Style_34"/>
  </w:style>
  <w:style w:styleId="Style_35" w:type="paragraph">
    <w:name w:val="normal"/>
    <w:link w:val="Style_35_ch"/>
    <w:rPr>
      <w:rFonts w:ascii="Times New Roman" w:hAnsi="Times New Roman"/>
      <w:color w:val="000000"/>
    </w:rPr>
  </w:style>
  <w:style w:styleId="Style_35_ch" w:type="character">
    <w:name w:val="normal"/>
    <w:link w:val="Style_35"/>
    <w:rPr>
      <w:rFonts w:ascii="Times New Roman" w:hAnsi="Times New Roman"/>
      <w:color w:val="000000"/>
    </w:rPr>
  </w:style>
  <w:style w:styleId="Style_36" w:type="paragraph">
    <w:name w:val="Основной текст11"/>
    <w:basedOn w:val="Style_20"/>
    <w:link w:val="Style_36_ch"/>
    <w:pPr>
      <w:spacing w:after="0" w:line="0" w:lineRule="atLeast"/>
      <w:ind w:hanging="440" w:left="440"/>
      <w:jc w:val="both"/>
    </w:pPr>
    <w:rPr>
      <w:rFonts w:ascii="Times New Roman" w:hAnsi="Times New Roman"/>
      <w:sz w:val="27"/>
    </w:rPr>
  </w:style>
  <w:style w:styleId="Style_36_ch" w:type="character">
    <w:name w:val="Основной текст11"/>
    <w:basedOn w:val="Style_20_ch"/>
    <w:link w:val="Style_36"/>
    <w:rPr>
      <w:rFonts w:ascii="Times New Roman" w:hAnsi="Times New Roman"/>
      <w:sz w:val="27"/>
    </w:rPr>
  </w:style>
  <w:style w:styleId="Style_37" w:type="paragraph">
    <w:name w:val="toc 3"/>
    <w:basedOn w:val="Style_20"/>
    <w:next w:val="Style_20"/>
    <w:link w:val="Style_37_ch"/>
    <w:uiPriority w:val="39"/>
    <w:pPr>
      <w:spacing w:after="100"/>
      <w:ind w:firstLine="0" w:left="440"/>
    </w:pPr>
  </w:style>
  <w:style w:styleId="Style_37_ch" w:type="character">
    <w:name w:val="toc 3"/>
    <w:basedOn w:val="Style_20_ch"/>
    <w:link w:val="Style_37"/>
  </w:style>
  <w:style w:styleId="Style_38" w:type="paragraph">
    <w:name w:val="annotation subject"/>
    <w:basedOn w:val="Style_39"/>
    <w:next w:val="Style_39"/>
    <w:link w:val="Style_38_ch"/>
    <w:rPr>
      <w:b w:val="1"/>
    </w:rPr>
  </w:style>
  <w:style w:styleId="Style_38_ch" w:type="character">
    <w:name w:val="annotation subject"/>
    <w:basedOn w:val="Style_39_ch"/>
    <w:link w:val="Style_38"/>
    <w:rPr>
      <w:b w:val="1"/>
    </w:rPr>
  </w:style>
  <w:style w:styleId="Style_39" w:type="paragraph">
    <w:name w:val="annotation text"/>
    <w:basedOn w:val="Style_20"/>
    <w:link w:val="Style_39_ch"/>
    <w:pPr>
      <w:spacing w:line="240" w:lineRule="auto"/>
      <w:ind/>
    </w:pPr>
    <w:rPr>
      <w:sz w:val="20"/>
    </w:rPr>
  </w:style>
  <w:style w:styleId="Style_39_ch" w:type="character">
    <w:name w:val="annotation text"/>
    <w:basedOn w:val="Style_20_ch"/>
    <w:link w:val="Style_39"/>
    <w:rPr>
      <w:sz w:val="20"/>
    </w:rPr>
  </w:style>
  <w:style w:styleId="Style_40" w:type="paragraph">
    <w:name w:val="Emphasis"/>
    <w:basedOn w:val="Style_24"/>
    <w:link w:val="Style_40_ch"/>
    <w:rPr>
      <w:i w:val="1"/>
    </w:rPr>
  </w:style>
  <w:style w:styleId="Style_40_ch" w:type="character">
    <w:name w:val="Emphasis"/>
    <w:basedOn w:val="Style_24_ch"/>
    <w:link w:val="Style_40"/>
    <w:rPr>
      <w:i w:val="1"/>
    </w:rPr>
  </w:style>
  <w:style w:styleId="Style_18" w:type="paragraph">
    <w:name w:val="Strong"/>
    <w:link w:val="Style_18_ch"/>
    <w:rPr>
      <w:b w:val="1"/>
    </w:rPr>
  </w:style>
  <w:style w:styleId="Style_18_ch" w:type="character">
    <w:name w:val="Strong"/>
    <w:link w:val="Style_18"/>
    <w:rPr>
      <w:b w:val="1"/>
    </w:rPr>
  </w:style>
  <w:style w:styleId="Style_41" w:type="paragraph">
    <w:name w:val="Body Text 3"/>
    <w:basedOn w:val="Style_20"/>
    <w:link w:val="Style_41_ch"/>
    <w:pPr>
      <w:spacing w:after="0" w:line="240" w:lineRule="atLeast"/>
      <w:ind/>
      <w:jc w:val="center"/>
    </w:pPr>
    <w:rPr>
      <w:rFonts w:ascii="Times New Roman" w:hAnsi="Times New Roman"/>
      <w:b w:val="1"/>
      <w:sz w:val="28"/>
    </w:rPr>
  </w:style>
  <w:style w:styleId="Style_41_ch" w:type="character">
    <w:name w:val="Body Text 3"/>
    <w:basedOn w:val="Style_20_ch"/>
    <w:link w:val="Style_41"/>
    <w:rPr>
      <w:rFonts w:ascii="Times New Roman" w:hAnsi="Times New Roman"/>
      <w:b w:val="1"/>
      <w:sz w:val="28"/>
    </w:rPr>
  </w:style>
  <w:style w:styleId="Style_42" w:type="paragraph">
    <w:name w:val="header"/>
    <w:basedOn w:val="Style_20"/>
    <w:link w:val="Style_42_ch"/>
    <w:pPr>
      <w:tabs>
        <w:tab w:leader="none" w:pos="4677" w:val="center"/>
        <w:tab w:leader="none" w:pos="9355" w:val="right"/>
      </w:tabs>
      <w:spacing w:after="0" w:line="240" w:lineRule="auto"/>
      <w:ind/>
    </w:pPr>
  </w:style>
  <w:style w:styleId="Style_42_ch" w:type="character">
    <w:name w:val="header"/>
    <w:basedOn w:val="Style_20_ch"/>
    <w:link w:val="Style_42"/>
  </w:style>
  <w:style w:styleId="Style_43" w:type="paragraph">
    <w:name w:val="heading 5"/>
    <w:next w:val="Style_20"/>
    <w:link w:val="Style_43_ch"/>
    <w:uiPriority w:val="9"/>
    <w:qFormat/>
    <w:pPr>
      <w:spacing w:after="120" w:before="120"/>
      <w:ind/>
      <w:jc w:val="both"/>
      <w:outlineLvl w:val="4"/>
    </w:pPr>
    <w:rPr>
      <w:rFonts w:ascii="XO Thames" w:hAnsi="XO Thames"/>
      <w:b w:val="1"/>
      <w:sz w:val="22"/>
    </w:rPr>
  </w:style>
  <w:style w:styleId="Style_43_ch" w:type="character">
    <w:name w:val="heading 5"/>
    <w:link w:val="Style_43"/>
    <w:rPr>
      <w:rFonts w:ascii="XO Thames" w:hAnsi="XO Thames"/>
      <w:b w:val="1"/>
      <w:sz w:val="22"/>
    </w:rPr>
  </w:style>
  <w:style w:styleId="Style_1" w:type="paragraph">
    <w:name w:val="footer"/>
    <w:basedOn w:val="Style_20"/>
    <w:link w:val="Style_1_ch"/>
    <w:pPr>
      <w:tabs>
        <w:tab w:leader="none" w:pos="4677" w:val="center"/>
        <w:tab w:leader="none" w:pos="9355" w:val="right"/>
      </w:tabs>
      <w:spacing w:after="0" w:line="240" w:lineRule="auto"/>
      <w:ind/>
    </w:pPr>
  </w:style>
  <w:style w:styleId="Style_1_ch" w:type="character">
    <w:name w:val="footer"/>
    <w:basedOn w:val="Style_20_ch"/>
    <w:link w:val="Style_1"/>
  </w:style>
  <w:style w:styleId="Style_11" w:type="paragraph">
    <w:name w:val="Default"/>
    <w:link w:val="Style_11_ch"/>
    <w:rPr>
      <w:rFonts w:ascii="Times New Roman" w:hAnsi="Times New Roman"/>
      <w:color w:val="000000"/>
      <w:sz w:val="24"/>
    </w:rPr>
  </w:style>
  <w:style w:styleId="Style_11_ch" w:type="character">
    <w:name w:val="Default"/>
    <w:link w:val="Style_11"/>
    <w:rPr>
      <w:rFonts w:ascii="Times New Roman" w:hAnsi="Times New Roman"/>
      <w:color w:val="000000"/>
      <w:sz w:val="24"/>
    </w:rPr>
  </w:style>
  <w:style w:styleId="Style_10" w:type="paragraph">
    <w:name w:val="List Paragraph"/>
    <w:basedOn w:val="Style_20"/>
    <w:link w:val="Style_10_ch"/>
    <w:pPr>
      <w:ind w:firstLine="0" w:left="720"/>
      <w:contextualSpacing w:val="1"/>
    </w:pPr>
  </w:style>
  <w:style w:styleId="Style_10_ch" w:type="character">
    <w:name w:val="List Paragraph"/>
    <w:basedOn w:val="Style_20_ch"/>
    <w:link w:val="Style_10"/>
  </w:style>
  <w:style w:styleId="Style_2" w:type="paragraph">
    <w:name w:val="heading 1"/>
    <w:basedOn w:val="Style_20"/>
    <w:next w:val="Style_20"/>
    <w:link w:val="Style_2_ch"/>
    <w:uiPriority w:val="9"/>
    <w:qFormat/>
    <w:pPr>
      <w:keepNext w:val="1"/>
      <w:keepLines w:val="1"/>
      <w:spacing w:after="0" w:before="480"/>
      <w:ind/>
      <w:outlineLvl w:val="0"/>
    </w:pPr>
    <w:rPr>
      <w:rFonts w:ascii="Cambria" w:hAnsi="Cambria"/>
      <w:b w:val="1"/>
      <w:color w:val="365F91"/>
      <w:sz w:val="28"/>
    </w:rPr>
  </w:style>
  <w:style w:styleId="Style_2_ch" w:type="character">
    <w:name w:val="heading 1"/>
    <w:basedOn w:val="Style_20_ch"/>
    <w:link w:val="Style_2"/>
    <w:rPr>
      <w:rFonts w:ascii="Cambria" w:hAnsi="Cambria"/>
      <w:b w:val="1"/>
      <w:color w:val="365F91"/>
      <w:sz w:val="28"/>
    </w:rPr>
  </w:style>
  <w:style w:styleId="Style_44" w:type="paragraph">
    <w:name w:val="field-content"/>
    <w:basedOn w:val="Style_24"/>
    <w:link w:val="Style_44_ch"/>
  </w:style>
  <w:style w:styleId="Style_44_ch" w:type="character">
    <w:name w:val="field-content"/>
    <w:basedOn w:val="Style_24_ch"/>
    <w:link w:val="Style_44"/>
  </w:style>
  <w:style w:styleId="Style_19" w:type="paragraph">
    <w:name w:val="Hyperlink"/>
    <w:link w:val="Style_19_ch"/>
    <w:rPr>
      <w:color w:val="0000FF"/>
      <w:u w:val="single"/>
    </w:rPr>
  </w:style>
  <w:style w:styleId="Style_19_ch" w:type="character">
    <w:name w:val="Hyperlink"/>
    <w:link w:val="Style_19"/>
    <w:rPr>
      <w:color w:val="0000FF"/>
      <w:u w:val="single"/>
    </w:rPr>
  </w:style>
  <w:style w:styleId="Style_45" w:type="paragraph">
    <w:name w:val="Footnote"/>
    <w:basedOn w:val="Style_20"/>
    <w:link w:val="Style_45_ch"/>
    <w:pPr>
      <w:spacing w:after="0" w:line="240" w:lineRule="auto"/>
      <w:ind/>
    </w:pPr>
    <w:rPr>
      <w:rFonts w:ascii="Times New Roman" w:hAnsi="Times New Roman"/>
      <w:sz w:val="20"/>
    </w:rPr>
  </w:style>
  <w:style w:styleId="Style_45_ch" w:type="character">
    <w:name w:val="Footnote"/>
    <w:basedOn w:val="Style_20_ch"/>
    <w:link w:val="Style_45"/>
    <w:rPr>
      <w:rFonts w:ascii="Times New Roman" w:hAnsi="Times New Roman"/>
      <w:sz w:val="20"/>
    </w:rPr>
  </w:style>
  <w:style w:styleId="Style_46" w:type="paragraph">
    <w:name w:val="toc 1"/>
    <w:basedOn w:val="Style_20"/>
    <w:next w:val="Style_20"/>
    <w:link w:val="Style_46_ch"/>
    <w:uiPriority w:val="39"/>
    <w:pPr>
      <w:spacing w:after="100"/>
      <w:ind/>
    </w:pPr>
  </w:style>
  <w:style w:styleId="Style_46_ch" w:type="character">
    <w:name w:val="toc 1"/>
    <w:basedOn w:val="Style_20_ch"/>
    <w:link w:val="Style_46"/>
  </w:style>
  <w:style w:styleId="Style_47" w:type="paragraph">
    <w:name w:val="Header and Footer"/>
    <w:link w:val="Style_47_ch"/>
    <w:pPr>
      <w:spacing w:line="240" w:lineRule="auto"/>
      <w:ind/>
      <w:jc w:val="both"/>
    </w:pPr>
    <w:rPr>
      <w:rFonts w:ascii="XO Thames" w:hAnsi="XO Thames"/>
      <w:sz w:val="20"/>
    </w:rPr>
  </w:style>
  <w:style w:styleId="Style_47_ch" w:type="character">
    <w:name w:val="Header and Footer"/>
    <w:link w:val="Style_47"/>
    <w:rPr>
      <w:rFonts w:ascii="XO Thames" w:hAnsi="XO Thames"/>
      <w:sz w:val="20"/>
    </w:rPr>
  </w:style>
  <w:style w:styleId="Style_48" w:type="paragraph">
    <w:name w:val="Прижатый влево"/>
    <w:basedOn w:val="Style_20"/>
    <w:next w:val="Style_20"/>
    <w:link w:val="Style_48_ch"/>
    <w:pPr>
      <w:widowControl w:val="0"/>
      <w:spacing w:after="0" w:line="240" w:lineRule="auto"/>
      <w:ind/>
    </w:pPr>
    <w:rPr>
      <w:rFonts w:ascii="Arial" w:hAnsi="Arial"/>
      <w:sz w:val="20"/>
    </w:rPr>
  </w:style>
  <w:style w:styleId="Style_48_ch" w:type="character">
    <w:name w:val="Прижатый влево"/>
    <w:basedOn w:val="Style_20_ch"/>
    <w:link w:val="Style_48"/>
    <w:rPr>
      <w:rFonts w:ascii="Arial" w:hAnsi="Arial"/>
      <w:sz w:val="20"/>
    </w:rPr>
  </w:style>
  <w:style w:styleId="Style_49" w:type="paragraph">
    <w:name w:val="Знак"/>
    <w:basedOn w:val="Style_20"/>
    <w:link w:val="Style_49_ch"/>
    <w:pPr>
      <w:spacing w:after="160" w:line="240" w:lineRule="exact"/>
      <w:ind/>
    </w:pPr>
    <w:rPr>
      <w:rFonts w:ascii="Verdana" w:hAnsi="Verdana"/>
      <w:sz w:val="20"/>
    </w:rPr>
  </w:style>
  <w:style w:styleId="Style_49_ch" w:type="character">
    <w:name w:val="Знак"/>
    <w:basedOn w:val="Style_20_ch"/>
    <w:link w:val="Style_49"/>
    <w:rPr>
      <w:rFonts w:ascii="Verdana" w:hAnsi="Verdana"/>
      <w:sz w:val="20"/>
    </w:rPr>
  </w:style>
  <w:style w:styleId="Style_50" w:type="paragraph">
    <w:name w:val="toc 9"/>
    <w:next w:val="Style_20"/>
    <w:link w:val="Style_50_ch"/>
    <w:uiPriority w:val="39"/>
    <w:pPr>
      <w:ind w:firstLine="0" w:left="1600"/>
      <w:jc w:val="left"/>
    </w:pPr>
    <w:rPr>
      <w:rFonts w:ascii="XO Thames" w:hAnsi="XO Thames"/>
      <w:sz w:val="28"/>
    </w:rPr>
  </w:style>
  <w:style w:styleId="Style_50_ch" w:type="character">
    <w:name w:val="toc 9"/>
    <w:link w:val="Style_50"/>
    <w:rPr>
      <w:rFonts w:ascii="XO Thames" w:hAnsi="XO Thames"/>
      <w:sz w:val="28"/>
    </w:rPr>
  </w:style>
  <w:style w:styleId="Style_5" w:type="paragraph">
    <w:name w:val="стиль36"/>
    <w:basedOn w:val="Style_20"/>
    <w:link w:val="Style_5_ch"/>
    <w:pPr>
      <w:spacing w:afterAutospacing="on" w:beforeAutospacing="on" w:line="240" w:lineRule="auto"/>
      <w:ind/>
    </w:pPr>
    <w:rPr>
      <w:rFonts w:ascii="Times New Roman" w:hAnsi="Times New Roman"/>
      <w:sz w:val="24"/>
    </w:rPr>
  </w:style>
  <w:style w:styleId="Style_5_ch" w:type="character">
    <w:name w:val="стиль36"/>
    <w:basedOn w:val="Style_20_ch"/>
    <w:link w:val="Style_5"/>
    <w:rPr>
      <w:rFonts w:ascii="Times New Roman" w:hAnsi="Times New Roman"/>
      <w:sz w:val="24"/>
    </w:rPr>
  </w:style>
  <w:style w:styleId="Style_51" w:type="paragraph">
    <w:name w:val="tooltip"/>
    <w:basedOn w:val="Style_24"/>
    <w:link w:val="Style_51_ch"/>
  </w:style>
  <w:style w:styleId="Style_51_ch" w:type="character">
    <w:name w:val="tooltip"/>
    <w:basedOn w:val="Style_24_ch"/>
    <w:link w:val="Style_51"/>
  </w:style>
  <w:style w:styleId="Style_52" w:type="paragraph">
    <w:name w:val="msonormalcxspmiddle"/>
    <w:basedOn w:val="Style_20"/>
    <w:link w:val="Style_52_ch"/>
    <w:pPr>
      <w:spacing w:afterAutospacing="on" w:beforeAutospacing="on" w:line="240" w:lineRule="auto"/>
      <w:ind/>
    </w:pPr>
    <w:rPr>
      <w:rFonts w:ascii="Times New Roman" w:hAnsi="Times New Roman"/>
      <w:sz w:val="24"/>
    </w:rPr>
  </w:style>
  <w:style w:styleId="Style_52_ch" w:type="character">
    <w:name w:val="msonormalcxspmiddle"/>
    <w:basedOn w:val="Style_20_ch"/>
    <w:link w:val="Style_52"/>
    <w:rPr>
      <w:rFonts w:ascii="Times New Roman" w:hAnsi="Times New Roman"/>
      <w:sz w:val="24"/>
    </w:rPr>
  </w:style>
  <w:style w:styleId="Style_53" w:type="paragraph">
    <w:name w:val="toc 8"/>
    <w:next w:val="Style_20"/>
    <w:link w:val="Style_53_ch"/>
    <w:uiPriority w:val="39"/>
    <w:pPr>
      <w:ind w:firstLine="0" w:left="1400"/>
      <w:jc w:val="left"/>
    </w:pPr>
    <w:rPr>
      <w:rFonts w:ascii="XO Thames" w:hAnsi="XO Thames"/>
      <w:sz w:val="28"/>
    </w:rPr>
  </w:style>
  <w:style w:styleId="Style_53_ch" w:type="character">
    <w:name w:val="toc 8"/>
    <w:link w:val="Style_53"/>
    <w:rPr>
      <w:rFonts w:ascii="XO Thames" w:hAnsi="XO Thames"/>
      <w:sz w:val="28"/>
    </w:rPr>
  </w:style>
  <w:style w:styleId="Style_54" w:type="paragraph">
    <w:name w:val="Document Map"/>
    <w:basedOn w:val="Style_20"/>
    <w:link w:val="Style_54_ch"/>
    <w:rPr>
      <w:rFonts w:ascii="Tahoma" w:hAnsi="Tahoma"/>
      <w:sz w:val="16"/>
    </w:rPr>
  </w:style>
  <w:style w:styleId="Style_54_ch" w:type="character">
    <w:name w:val="Document Map"/>
    <w:basedOn w:val="Style_20_ch"/>
    <w:link w:val="Style_54"/>
    <w:rPr>
      <w:rFonts w:ascii="Tahoma" w:hAnsi="Tahoma"/>
      <w:sz w:val="16"/>
    </w:rPr>
  </w:style>
  <w:style w:styleId="Style_9" w:type="paragraph">
    <w:name w:val="No Spacing"/>
    <w:link w:val="Style_9_ch"/>
    <w:rPr>
      <w:sz w:val="22"/>
    </w:rPr>
  </w:style>
  <w:style w:styleId="Style_9_ch" w:type="character">
    <w:name w:val="No Spacing"/>
    <w:link w:val="Style_9"/>
    <w:rPr>
      <w:sz w:val="22"/>
    </w:rPr>
  </w:style>
  <w:style w:styleId="Style_13" w:type="paragraph">
    <w:name w:val="Plain Text"/>
    <w:basedOn w:val="Style_20"/>
    <w:link w:val="Style_13_ch"/>
    <w:pPr>
      <w:spacing w:after="0" w:line="240" w:lineRule="auto"/>
      <w:ind/>
    </w:pPr>
    <w:rPr>
      <w:rFonts w:ascii="Courier New" w:hAnsi="Courier New"/>
      <w:sz w:val="20"/>
    </w:rPr>
  </w:style>
  <w:style w:styleId="Style_13_ch" w:type="character">
    <w:name w:val="Plain Text"/>
    <w:basedOn w:val="Style_20_ch"/>
    <w:link w:val="Style_13"/>
    <w:rPr>
      <w:rFonts w:ascii="Courier New" w:hAnsi="Courier New"/>
      <w:sz w:val="20"/>
    </w:rPr>
  </w:style>
  <w:style w:styleId="Style_55" w:type="paragraph">
    <w:name w:val="toc 5"/>
    <w:next w:val="Style_20"/>
    <w:link w:val="Style_55_ch"/>
    <w:uiPriority w:val="39"/>
    <w:pPr>
      <w:ind w:firstLine="0" w:left="800"/>
      <w:jc w:val="left"/>
    </w:pPr>
    <w:rPr>
      <w:rFonts w:ascii="XO Thames" w:hAnsi="XO Thames"/>
      <w:sz w:val="28"/>
    </w:rPr>
  </w:style>
  <w:style w:styleId="Style_55_ch" w:type="character">
    <w:name w:val="toc 5"/>
    <w:link w:val="Style_55"/>
    <w:rPr>
      <w:rFonts w:ascii="XO Thames" w:hAnsi="XO Thames"/>
      <w:sz w:val="28"/>
    </w:rPr>
  </w:style>
  <w:style w:styleId="Style_16" w:type="paragraph">
    <w:name w:val="ConsPlusTitle"/>
    <w:basedOn w:val="Style_20"/>
    <w:next w:val="Style_17"/>
    <w:link w:val="Style_16_ch"/>
    <w:pPr>
      <w:widowControl w:val="0"/>
      <w:spacing w:after="0" w:line="240" w:lineRule="auto"/>
      <w:ind/>
    </w:pPr>
    <w:rPr>
      <w:rFonts w:ascii="Arial" w:hAnsi="Arial"/>
      <w:b w:val="1"/>
      <w:sz w:val="20"/>
    </w:rPr>
  </w:style>
  <w:style w:styleId="Style_16_ch" w:type="character">
    <w:name w:val="ConsPlusTitle"/>
    <w:basedOn w:val="Style_20_ch"/>
    <w:link w:val="Style_16"/>
    <w:rPr>
      <w:rFonts w:ascii="Arial" w:hAnsi="Arial"/>
      <w:b w:val="1"/>
      <w:sz w:val="20"/>
    </w:rPr>
  </w:style>
  <w:style w:styleId="Style_56" w:type="paragraph">
    <w:name w:val="Subtitle"/>
    <w:next w:val="Style_20"/>
    <w:link w:val="Style_56_ch"/>
    <w:uiPriority w:val="11"/>
    <w:qFormat/>
    <w:pPr>
      <w:ind/>
      <w:jc w:val="both"/>
    </w:pPr>
    <w:rPr>
      <w:rFonts w:ascii="XO Thames" w:hAnsi="XO Thames"/>
      <w:i w:val="1"/>
      <w:sz w:val="24"/>
    </w:rPr>
  </w:style>
  <w:style w:styleId="Style_56_ch" w:type="character">
    <w:name w:val="Subtitle"/>
    <w:link w:val="Style_56"/>
    <w:rPr>
      <w:rFonts w:ascii="XO Thames" w:hAnsi="XO Thames"/>
      <w:i w:val="1"/>
      <w:sz w:val="24"/>
    </w:rPr>
  </w:style>
  <w:style w:styleId="Style_3" w:type="paragraph">
    <w:name w:val="Normal (Web)"/>
    <w:basedOn w:val="Style_20"/>
    <w:link w:val="Style_3_ch"/>
    <w:pPr>
      <w:spacing w:afterAutospacing="on" w:beforeAutospacing="on" w:line="240" w:lineRule="auto"/>
      <w:ind/>
    </w:pPr>
    <w:rPr>
      <w:rFonts w:ascii="Times New Roman" w:hAnsi="Times New Roman"/>
      <w:sz w:val="24"/>
    </w:rPr>
  </w:style>
  <w:style w:styleId="Style_3_ch" w:type="character">
    <w:name w:val="Normal (Web)"/>
    <w:basedOn w:val="Style_20_ch"/>
    <w:link w:val="Style_3"/>
    <w:rPr>
      <w:rFonts w:ascii="Times New Roman" w:hAnsi="Times New Roman"/>
      <w:sz w:val="24"/>
    </w:rPr>
  </w:style>
  <w:style w:styleId="Style_6" w:type="paragraph">
    <w:name w:val="ConsPlusCell"/>
    <w:link w:val="Style_6_ch"/>
    <w:pPr>
      <w:widowControl w:val="0"/>
      <w:ind/>
    </w:pPr>
    <w:rPr>
      <w:sz w:val="22"/>
    </w:rPr>
  </w:style>
  <w:style w:styleId="Style_6_ch" w:type="character">
    <w:name w:val="ConsPlusCell"/>
    <w:link w:val="Style_6"/>
    <w:rPr>
      <w:sz w:val="22"/>
    </w:rPr>
  </w:style>
  <w:style w:styleId="Style_57" w:type="paragraph">
    <w:name w:val="Font Style12"/>
    <w:link w:val="Style_57_ch"/>
    <w:rPr>
      <w:rFonts w:ascii="Times New Roman" w:hAnsi="Times New Roman"/>
      <w:sz w:val="26"/>
    </w:rPr>
  </w:style>
  <w:style w:styleId="Style_57_ch" w:type="character">
    <w:name w:val="Font Style12"/>
    <w:link w:val="Style_57"/>
    <w:rPr>
      <w:rFonts w:ascii="Times New Roman" w:hAnsi="Times New Roman"/>
      <w:sz w:val="26"/>
    </w:rPr>
  </w:style>
  <w:style w:styleId="Style_58" w:type="paragraph">
    <w:name w:val="Title"/>
    <w:next w:val="Style_20"/>
    <w:link w:val="Style_58_ch"/>
    <w:uiPriority w:val="10"/>
    <w:qFormat/>
    <w:pPr>
      <w:spacing w:after="567" w:before="567"/>
      <w:ind/>
      <w:jc w:val="center"/>
    </w:pPr>
    <w:rPr>
      <w:rFonts w:ascii="XO Thames" w:hAnsi="XO Thames"/>
      <w:b w:val="1"/>
      <w:caps w:val="1"/>
      <w:sz w:val="40"/>
    </w:rPr>
  </w:style>
  <w:style w:styleId="Style_58_ch" w:type="character">
    <w:name w:val="Title"/>
    <w:link w:val="Style_58"/>
    <w:rPr>
      <w:rFonts w:ascii="XO Thames" w:hAnsi="XO Thames"/>
      <w:b w:val="1"/>
      <w:caps w:val="1"/>
      <w:sz w:val="40"/>
    </w:rPr>
  </w:style>
  <w:style w:styleId="Style_59" w:type="paragraph">
    <w:name w:val="heading 4"/>
    <w:next w:val="Style_20"/>
    <w:link w:val="Style_59_ch"/>
    <w:uiPriority w:val="9"/>
    <w:qFormat/>
    <w:pPr>
      <w:spacing w:after="120" w:before="120"/>
      <w:ind/>
      <w:jc w:val="both"/>
      <w:outlineLvl w:val="3"/>
    </w:pPr>
    <w:rPr>
      <w:rFonts w:ascii="XO Thames" w:hAnsi="XO Thames"/>
      <w:b w:val="1"/>
      <w:sz w:val="24"/>
    </w:rPr>
  </w:style>
  <w:style w:styleId="Style_59_ch" w:type="character">
    <w:name w:val="heading 4"/>
    <w:link w:val="Style_59"/>
    <w:rPr>
      <w:rFonts w:ascii="XO Thames" w:hAnsi="XO Thames"/>
      <w:b w:val="1"/>
      <w:sz w:val="24"/>
    </w:rPr>
  </w:style>
  <w:style w:styleId="Style_12" w:type="paragraph">
    <w:name w:val="heading 2"/>
    <w:basedOn w:val="Style_20"/>
    <w:next w:val="Style_20"/>
    <w:link w:val="Style_12_ch"/>
    <w:uiPriority w:val="9"/>
    <w:qFormat/>
    <w:pPr>
      <w:keepNext w:val="1"/>
      <w:keepLines w:val="1"/>
      <w:spacing w:after="0" w:before="200"/>
      <w:ind/>
      <w:outlineLvl w:val="1"/>
    </w:pPr>
    <w:rPr>
      <w:rFonts w:ascii="Cambria" w:hAnsi="Cambria"/>
      <w:b w:val="1"/>
      <w:color w:val="4F81BD"/>
      <w:sz w:val="26"/>
    </w:rPr>
  </w:style>
  <w:style w:styleId="Style_12_ch" w:type="character">
    <w:name w:val="heading 2"/>
    <w:basedOn w:val="Style_20_ch"/>
    <w:link w:val="Style_12"/>
    <w:rPr>
      <w:rFonts w:ascii="Cambria" w:hAnsi="Cambria"/>
      <w:b w:val="1"/>
      <w:color w:val="4F81BD"/>
      <w:sz w:val="26"/>
    </w:rPr>
  </w:style>
  <w:style w:styleId="Style_60" w:type="paragraph">
    <w:name w:val="Balloon Text"/>
    <w:basedOn w:val="Style_20"/>
    <w:link w:val="Style_60_ch"/>
    <w:pPr>
      <w:spacing w:after="0" w:line="240" w:lineRule="auto"/>
      <w:ind/>
    </w:pPr>
    <w:rPr>
      <w:rFonts w:ascii="Tahoma" w:hAnsi="Tahoma"/>
      <w:sz w:val="16"/>
    </w:rPr>
  </w:style>
  <w:style w:styleId="Style_60_ch" w:type="character">
    <w:name w:val="Balloon Text"/>
    <w:basedOn w:val="Style_20_ch"/>
    <w:link w:val="Style_60"/>
    <w:rPr>
      <w:rFonts w:ascii="Tahoma" w:hAnsi="Tahoma"/>
      <w:sz w:val="16"/>
    </w:rPr>
  </w:style>
  <w:style w:styleId="Style_61" w:type="paragraph">
    <w:name w:val="HTML Preformatted"/>
    <w:basedOn w:val="Style_20"/>
    <w:link w:val="Style_61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pPr>
    <w:rPr>
      <w:rFonts w:ascii="Courier New" w:hAnsi="Courier New"/>
      <w:sz w:val="20"/>
    </w:rPr>
  </w:style>
  <w:style w:styleId="Style_61_ch" w:type="character">
    <w:name w:val="HTML Preformatted"/>
    <w:basedOn w:val="Style_20_ch"/>
    <w:link w:val="Style_61"/>
    <w:rPr>
      <w:rFonts w:ascii="Courier New" w:hAnsi="Courier New"/>
      <w:sz w:val="20"/>
    </w:rPr>
  </w:style>
  <w:style w:styleId="Style_62" w:type="paragraph">
    <w:name w:val="1.Текст"/>
    <w:link w:val="Style_62_ch"/>
    <w:pPr>
      <w:spacing w:before="60"/>
      <w:ind w:firstLine="851" w:left="0"/>
      <w:jc w:val="both"/>
    </w:pPr>
    <w:rPr>
      <w:rFonts w:ascii="Arial" w:hAnsi="Arial"/>
      <w:sz w:val="24"/>
    </w:rPr>
  </w:style>
  <w:style w:styleId="Style_62_ch" w:type="character">
    <w:name w:val="1.Текст"/>
    <w:link w:val="Style_62"/>
    <w:rPr>
      <w:rFonts w:ascii="Arial" w:hAnsi="Arial"/>
      <w:sz w:val="24"/>
    </w:rPr>
  </w:style>
  <w:style w:styleId="Style_63" w:type="paragraph">
    <w:name w:val="TOC Heading"/>
    <w:basedOn w:val="Style_2"/>
    <w:next w:val="Style_20"/>
    <w:link w:val="Style_63_ch"/>
    <w:pPr>
      <w:ind/>
      <w:outlineLvl w:val="8"/>
    </w:pPr>
  </w:style>
  <w:style w:styleId="Style_63_ch" w:type="character">
    <w:name w:val="TOC Heading"/>
    <w:basedOn w:val="Style_2_ch"/>
    <w:link w:val="Style_63"/>
  </w:style>
  <w:style w:default="1" w:styleId="Style_4" w:type="table">
    <w:name w:val="Normal Table"/>
    <w:tblPr>
      <w:tblInd w:type="dxa" w:w="0"/>
      <w:tblCellMar>
        <w:top w:type="dxa" w:w="0"/>
        <w:left w:type="dxa" w:w="108"/>
        <w:bottom w:type="dxa" w:w="0"/>
        <w:right w:type="dxa" w:w="108"/>
      </w:tblCellMar>
    </w:tblPr>
  </w:style>
  <w:style w:styleId="Style_64" w:type="table">
    <w:name w:val="Table Grid"/>
    <w:basedOn w:val="Style_4"/>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5" w:type="table">
    <w:name w:val="Сетка таблицы1"/>
    <w:basedOn w:val="Style_4"/>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 w:type="table">
    <w:name w:val="Light Grid Accent 5"/>
    <w:basedOn w:val="Style_4"/>
    <w:pPr>
      <w:spacing w:after="0" w:line="240" w:lineRule="auto"/>
      <w:ind/>
    </w:pPr>
    <w:tblPr>
      <w:tblBorders>
        <w:top w:color="4BACC6" w:sz="8" w:val="single"/>
        <w:left w:color="4BACC6" w:sz="8" w:val="single"/>
        <w:bottom w:color="4BACC6" w:sz="8" w:val="single"/>
        <w:right w:color="4BACC6" w:sz="8" w:val="single"/>
        <w:insideH w:color="4BACC6" w:sz="8" w:val="single"/>
        <w:insideV w:color="4BACC6" w:sz="8"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6" Target="numbering.xml" Type="http://schemas.openxmlformats.org/officeDocument/2006/relationships/numbering"/>
  <Relationship Id="rId74" Target="webSettings.xml" Type="http://schemas.openxmlformats.org/officeDocument/2006/relationships/webSettings"/>
  <Relationship Id="rId73" Target="stylesWithEffects.xml" Type="http://schemas.microsoft.com/office/2007/relationships/stylesWithEffects"/>
  <Relationship Id="rId71" Target="settings.xml" Type="http://schemas.openxmlformats.org/officeDocument/2006/relationships/settings"/>
  <Relationship Id="rId62" Target="media/59.png" Type="http://schemas.openxmlformats.org/officeDocument/2006/relationships/image"/>
  <Relationship Id="rId70" Target="fontTable.xml" Type="http://schemas.openxmlformats.org/officeDocument/2006/relationships/fontTable"/>
  <Relationship Id="rId61" Target="media/58.png" Type="http://schemas.openxmlformats.org/officeDocument/2006/relationships/image"/>
  <Relationship Id="rId60" Target="media/57.png" Type="http://schemas.openxmlformats.org/officeDocument/2006/relationships/image"/>
  <Relationship Id="rId57" Target="media/54.png" Type="http://schemas.openxmlformats.org/officeDocument/2006/relationships/image"/>
  <Relationship Id="rId56" Target="media/53.png" Type="http://schemas.openxmlformats.org/officeDocument/2006/relationships/image"/>
  <Relationship Id="rId63" Target="media/60.png" Type="http://schemas.openxmlformats.org/officeDocument/2006/relationships/image"/>
  <Relationship Id="rId54" Target="media/51.png" Type="http://schemas.openxmlformats.org/officeDocument/2006/relationships/image"/>
  <Relationship Id="rId10" Target="media/7.png" Type="http://schemas.openxmlformats.org/officeDocument/2006/relationships/image"/>
  <Relationship Id="rId49" Target="media/46.png" Type="http://schemas.openxmlformats.org/officeDocument/2006/relationships/image"/>
  <Relationship Id="rId48" Target="media/45.png" Type="http://schemas.openxmlformats.org/officeDocument/2006/relationships/image"/>
  <Relationship Id="rId44" Target="media/41.png" Type="http://schemas.openxmlformats.org/officeDocument/2006/relationships/image"/>
  <Relationship Id="rId7" Target="media/4.png" Type="http://schemas.openxmlformats.org/officeDocument/2006/relationships/image"/>
  <Relationship Id="rId42" Target="media/39.png" Type="http://schemas.openxmlformats.org/officeDocument/2006/relationships/image"/>
  <Relationship Id="rId53" Target="media/50.png" Type="http://schemas.openxmlformats.org/officeDocument/2006/relationships/image"/>
  <Relationship Id="rId41" Target="media/38.png" Type="http://schemas.openxmlformats.org/officeDocument/2006/relationships/image"/>
  <Relationship Id="rId45" Target="media/42.png" Type="http://schemas.openxmlformats.org/officeDocument/2006/relationships/image"/>
  <Relationship Id="rId36" Target="media/33.png" Type="http://schemas.openxmlformats.org/officeDocument/2006/relationships/image"/>
  <Relationship Id="rId68" Target="media/65.png" Type="http://schemas.openxmlformats.org/officeDocument/2006/relationships/image"/>
  <Relationship Id="rId35" Target="media/32.png" Type="http://schemas.openxmlformats.org/officeDocument/2006/relationships/image"/>
  <Relationship Id="rId33" Target="media/30.png" Type="http://schemas.openxmlformats.org/officeDocument/2006/relationships/image"/>
  <Relationship Id="rId30" Target="media/27.png" Type="http://schemas.openxmlformats.org/officeDocument/2006/relationships/image"/>
  <Relationship Id="rId75" Target="theme/theme1.xml" Type="http://schemas.openxmlformats.org/officeDocument/2006/relationships/theme"/>
  <Relationship Id="rId25" Target="media/22.png" Type="http://schemas.openxmlformats.org/officeDocument/2006/relationships/image"/>
  <Relationship Id="rId21" Target="media/18.png" Type="http://schemas.openxmlformats.org/officeDocument/2006/relationships/image"/>
  <Relationship Id="rId27" Target="media/24.png" Type="http://schemas.openxmlformats.org/officeDocument/2006/relationships/image"/>
  <Relationship Id="rId26" Target="media/23.png" Type="http://schemas.openxmlformats.org/officeDocument/2006/relationships/image"/>
  <Relationship Id="rId55" Target="media/52.png" Type="http://schemas.openxmlformats.org/officeDocument/2006/relationships/image"/>
  <Relationship Id="rId24" Target="media/21.png" Type="http://schemas.openxmlformats.org/officeDocument/2006/relationships/image"/>
  <Relationship Id="rId20" Target="media/17.png" Type="http://schemas.openxmlformats.org/officeDocument/2006/relationships/image"/>
  <Relationship Id="rId23" Target="media/20.png" Type="http://schemas.openxmlformats.org/officeDocument/2006/relationships/image"/>
  <Relationship Id="rId22" Target="media/19.png" Type="http://schemas.openxmlformats.org/officeDocument/2006/relationships/image"/>
  <Relationship Id="rId66" Target="media/63.png" Type="http://schemas.openxmlformats.org/officeDocument/2006/relationships/image"/>
  <Relationship Id="rId19" Target="media/16.png" Type="http://schemas.openxmlformats.org/officeDocument/2006/relationships/image"/>
  <Relationship Id="rId39" Target="media/36.png" Type="http://schemas.openxmlformats.org/officeDocument/2006/relationships/image"/>
  <Relationship Id="rId13" Target="media/10.png" Type="http://schemas.openxmlformats.org/officeDocument/2006/relationships/image"/>
  <Relationship Id="rId15" Target="media/12.png" Type="http://schemas.openxmlformats.org/officeDocument/2006/relationships/image"/>
  <Relationship Id="rId16" Target="media/13.png" Type="http://schemas.openxmlformats.org/officeDocument/2006/relationships/image"/>
  <Relationship Id="rId47" Target="media/44.png" Type="http://schemas.openxmlformats.org/officeDocument/2006/relationships/image"/>
  <Relationship Id="rId18" Target="media/15.png" Type="http://schemas.openxmlformats.org/officeDocument/2006/relationships/image"/>
  <Relationship Id="rId32" Target="media/29.png" Type="http://schemas.openxmlformats.org/officeDocument/2006/relationships/image"/>
  <Relationship Id="rId4" Target="media/1.png" Type="http://schemas.openxmlformats.org/officeDocument/2006/relationships/image"/>
  <Relationship Id="rId12" Target="media/9.png" Type="http://schemas.openxmlformats.org/officeDocument/2006/relationships/image"/>
  <Relationship Id="rId67" Target="media/64.png" Type="http://schemas.openxmlformats.org/officeDocument/2006/relationships/image"/>
  <Relationship Id="rId43" Target="media/40.png" Type="http://schemas.openxmlformats.org/officeDocument/2006/relationships/image"/>
  <Relationship Id="rId8" Target="media/5.png" Type="http://schemas.openxmlformats.org/officeDocument/2006/relationships/image"/>
  <Relationship Id="rId72" Target="styles.xml" Type="http://schemas.openxmlformats.org/officeDocument/2006/relationships/styles"/>
  <Relationship Id="rId50" Target="media/47.png" Type="http://schemas.openxmlformats.org/officeDocument/2006/relationships/image"/>
  <Relationship Id="rId11" Target="media/8.png" Type="http://schemas.openxmlformats.org/officeDocument/2006/relationships/image"/>
  <Relationship Id="rId59" Target="media/56.png" Type="http://schemas.openxmlformats.org/officeDocument/2006/relationships/image"/>
  <Relationship Id="rId14" Target="media/11.png" Type="http://schemas.openxmlformats.org/officeDocument/2006/relationships/image"/>
  <Relationship Id="rId58" Target="media/55.png" Type="http://schemas.openxmlformats.org/officeDocument/2006/relationships/image"/>
  <Relationship Id="rId34" Target="media/31.png" Type="http://schemas.openxmlformats.org/officeDocument/2006/relationships/image"/>
  <Relationship Id="rId38" Target="media/35.png" Type="http://schemas.openxmlformats.org/officeDocument/2006/relationships/image"/>
  <Relationship Id="rId37" Target="media/34.png" Type="http://schemas.openxmlformats.org/officeDocument/2006/relationships/image"/>
  <Relationship Id="rId69" Target="media/66.png" Type="http://schemas.openxmlformats.org/officeDocument/2006/relationships/image"/>
  <Relationship Id="rId31" Target="media/28.png" Type="http://schemas.openxmlformats.org/officeDocument/2006/relationships/image"/>
  <Relationship Id="rId6" Target="media/3.png" Type="http://schemas.openxmlformats.org/officeDocument/2006/relationships/image"/>
  <Relationship Id="rId3" Target="footer3.xml" Type="http://schemas.openxmlformats.org/officeDocument/2006/relationships/footer"/>
  <Relationship Id="rId65" Target="media/62.png" Type="http://schemas.openxmlformats.org/officeDocument/2006/relationships/image"/>
  <Relationship Id="rId46" Target="media/43.png" Type="http://schemas.openxmlformats.org/officeDocument/2006/relationships/image"/>
  <Relationship Id="rId1" Target="footer1.xml" Type="http://schemas.openxmlformats.org/officeDocument/2006/relationships/footer"/>
  <Relationship Id="rId2" Target="footer2.xml" Type="http://schemas.openxmlformats.org/officeDocument/2006/relationships/footer"/>
  <Relationship Id="rId9" Target="media/6.png" Type="http://schemas.openxmlformats.org/officeDocument/2006/relationships/image"/>
  <Relationship Id="rId17" Target="media/14.png" Type="http://schemas.openxmlformats.org/officeDocument/2006/relationships/image"/>
  <Relationship Id="rId29" Target="media/26.png" Type="http://schemas.openxmlformats.org/officeDocument/2006/relationships/image"/>
  <Relationship Id="rId40" Target="media/37.png" Type="http://schemas.openxmlformats.org/officeDocument/2006/relationships/image"/>
  <Relationship Id="rId51" Target="media/48.png" Type="http://schemas.openxmlformats.org/officeDocument/2006/relationships/image"/>
  <Relationship Id="rId64" Target="media/61.png" Type="http://schemas.openxmlformats.org/officeDocument/2006/relationships/image"/>
  <Relationship Id="rId5" Target="media/2.png" Type="http://schemas.openxmlformats.org/officeDocument/2006/relationships/image"/>
  <Relationship Id="rId52" Target="media/49.png" Type="http://schemas.openxmlformats.org/officeDocument/2006/relationships/image"/>
  <Relationship Id="rId28" Target="media/25.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2022-06-06T10:28:26Z</dcterms:modified>
</cp:coreProperties>
</file>