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1B499C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</w:t>
      </w:r>
      <w:r w:rsidR="00966177">
        <w:rPr>
          <w:i/>
          <w:color w:val="4F81BD"/>
          <w:sz w:val="16"/>
          <w:szCs w:val="16"/>
        </w:rPr>
        <w:t>. постановлени</w:t>
      </w:r>
      <w:r w:rsidR="003F6B29">
        <w:rPr>
          <w:i/>
          <w:color w:val="4F81BD"/>
          <w:sz w:val="16"/>
          <w:szCs w:val="16"/>
        </w:rPr>
        <w:t>й</w:t>
      </w:r>
      <w:r w:rsidR="00966177">
        <w:rPr>
          <w:i/>
          <w:color w:val="4F81BD"/>
          <w:sz w:val="16"/>
          <w:szCs w:val="16"/>
        </w:rPr>
        <w:t xml:space="preserve"> Администрации города Волгодонска</w:t>
      </w:r>
      <w:r>
        <w:rPr>
          <w:i/>
          <w:color w:val="4F81BD"/>
          <w:sz w:val="16"/>
          <w:szCs w:val="16"/>
        </w:rPr>
        <w:t xml:space="preserve"> от 15.12.2021 № 2631</w:t>
      </w:r>
      <w:r w:rsidR="00782FDC">
        <w:rPr>
          <w:i/>
          <w:color w:val="4F81BD"/>
          <w:sz w:val="16"/>
          <w:szCs w:val="16"/>
        </w:rPr>
        <w:t>,</w:t>
      </w:r>
      <w:r w:rsidR="006958D7" w:rsidRPr="006958D7">
        <w:rPr>
          <w:i/>
          <w:color w:val="4F81BD"/>
          <w:sz w:val="16"/>
          <w:szCs w:val="16"/>
        </w:rPr>
        <w:t xml:space="preserve"> </w:t>
      </w:r>
      <w:r w:rsidR="006958D7">
        <w:rPr>
          <w:i/>
          <w:color w:val="4F81BD"/>
          <w:sz w:val="16"/>
          <w:szCs w:val="16"/>
        </w:rPr>
        <w:t>от 18.01.2022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782FDC">
        <w:rPr>
          <w:i/>
          <w:color w:val="4F81BD"/>
          <w:sz w:val="16"/>
          <w:szCs w:val="16"/>
        </w:rPr>
        <w:t>56</w:t>
      </w:r>
      <w:r w:rsidR="00094349">
        <w:rPr>
          <w:i/>
          <w:color w:val="4F81BD"/>
          <w:sz w:val="16"/>
          <w:szCs w:val="16"/>
        </w:rPr>
        <w:t>,</w:t>
      </w:r>
      <w:r w:rsidR="00094349" w:rsidRPr="006958D7">
        <w:rPr>
          <w:i/>
          <w:color w:val="4F81BD"/>
          <w:sz w:val="16"/>
          <w:szCs w:val="16"/>
        </w:rPr>
        <w:t xml:space="preserve"> </w:t>
      </w:r>
      <w:r w:rsidR="00094349">
        <w:rPr>
          <w:i/>
          <w:color w:val="4F81BD"/>
          <w:sz w:val="16"/>
          <w:szCs w:val="16"/>
        </w:rPr>
        <w:t>от 21.01.2022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094349">
        <w:rPr>
          <w:i/>
          <w:color w:val="4F81BD"/>
          <w:sz w:val="16"/>
          <w:szCs w:val="16"/>
        </w:rPr>
        <w:t>78</w:t>
      </w:r>
      <w:r w:rsidR="007515C6">
        <w:rPr>
          <w:i/>
          <w:color w:val="4F81BD"/>
          <w:sz w:val="16"/>
          <w:szCs w:val="16"/>
        </w:rPr>
        <w:t>,</w:t>
      </w:r>
    </w:p>
    <w:p w:rsidR="001B499C" w:rsidRDefault="007515C6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 w:rsidR="00294AEA">
        <w:rPr>
          <w:i/>
          <w:color w:val="4F81BD"/>
          <w:sz w:val="16"/>
          <w:szCs w:val="16"/>
        </w:rPr>
        <w:t>,</w:t>
      </w:r>
      <w:r w:rsidR="00294AEA" w:rsidRPr="00294AEA">
        <w:rPr>
          <w:i/>
          <w:color w:val="4F81BD"/>
          <w:sz w:val="16"/>
          <w:szCs w:val="16"/>
        </w:rPr>
        <w:t xml:space="preserve"> </w:t>
      </w:r>
      <w:r w:rsidR="00294AEA" w:rsidRPr="007515C6">
        <w:rPr>
          <w:i/>
          <w:color w:val="4F81BD"/>
          <w:sz w:val="16"/>
          <w:szCs w:val="16"/>
        </w:rPr>
        <w:t>от</w:t>
      </w:r>
      <w:r w:rsidR="007645C7">
        <w:rPr>
          <w:i/>
          <w:color w:val="4F81BD"/>
          <w:sz w:val="16"/>
          <w:szCs w:val="16"/>
        </w:rPr>
        <w:t xml:space="preserve"> 09.</w:t>
      </w:r>
      <w:r w:rsidR="00294AEA" w:rsidRPr="007515C6">
        <w:rPr>
          <w:i/>
          <w:color w:val="4F81BD"/>
          <w:sz w:val="16"/>
          <w:szCs w:val="16"/>
        </w:rPr>
        <w:t>0</w:t>
      </w:r>
      <w:r w:rsidR="00294AEA">
        <w:rPr>
          <w:i/>
          <w:color w:val="4F81BD"/>
          <w:sz w:val="16"/>
          <w:szCs w:val="16"/>
        </w:rPr>
        <w:t>2</w:t>
      </w:r>
      <w:r w:rsidR="00294AEA" w:rsidRPr="007515C6">
        <w:rPr>
          <w:i/>
          <w:color w:val="4F81BD"/>
          <w:sz w:val="16"/>
          <w:szCs w:val="16"/>
        </w:rPr>
        <w:t>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66177">
        <w:rPr>
          <w:i/>
          <w:color w:val="4F81BD"/>
          <w:sz w:val="16"/>
          <w:szCs w:val="16"/>
        </w:rPr>
        <w:t>242</w:t>
      </w:r>
      <w:r w:rsidR="00066099" w:rsidRPr="009D4E71">
        <w:rPr>
          <w:i/>
          <w:color w:val="4F81BD"/>
          <w:sz w:val="16"/>
          <w:szCs w:val="16"/>
        </w:rPr>
        <w:t xml:space="preserve">, от </w:t>
      </w:r>
      <w:r w:rsidR="009D4E71" w:rsidRPr="009D4E71">
        <w:rPr>
          <w:i/>
          <w:color w:val="4F81BD"/>
          <w:sz w:val="16"/>
          <w:szCs w:val="16"/>
        </w:rPr>
        <w:t>11</w:t>
      </w:r>
      <w:r w:rsidR="00066099" w:rsidRPr="009D4E71">
        <w:rPr>
          <w:i/>
          <w:color w:val="4F81BD"/>
          <w:sz w:val="16"/>
          <w:szCs w:val="16"/>
        </w:rPr>
        <w:t>.03.2022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D4E71" w:rsidRPr="009D4E71">
        <w:rPr>
          <w:i/>
          <w:color w:val="4F81BD"/>
          <w:sz w:val="16"/>
          <w:szCs w:val="16"/>
        </w:rPr>
        <w:t>615</w:t>
      </w:r>
      <w:r w:rsidR="00066099" w:rsidRPr="009D4E71">
        <w:rPr>
          <w:i/>
          <w:color w:val="4F81BD"/>
          <w:sz w:val="16"/>
          <w:szCs w:val="16"/>
        </w:rPr>
        <w:t>)</w:t>
      </w:r>
    </w:p>
    <w:p w:rsidR="003359A0" w:rsidRDefault="003359A0" w:rsidP="00F22E57">
      <w:pPr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</w:t>
      </w:r>
      <w:r w:rsidR="003F6B29">
        <w:rPr>
          <w:i/>
          <w:color w:val="4F81BD"/>
          <w:sz w:val="16"/>
          <w:szCs w:val="16"/>
        </w:rPr>
        <w:t>й</w:t>
      </w:r>
      <w:r>
        <w:rPr>
          <w:i/>
          <w:color w:val="4F81BD"/>
          <w:sz w:val="16"/>
          <w:szCs w:val="16"/>
        </w:rPr>
        <w:t xml:space="preserve"> Администрации города Волгодонска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18.01.2022 №56,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21.01.2022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78,</w:t>
      </w: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,</w:t>
      </w:r>
      <w:r w:rsidRPr="00294AEA">
        <w:rPr>
          <w:i/>
          <w:color w:val="4F81BD"/>
          <w:sz w:val="16"/>
          <w:szCs w:val="16"/>
        </w:rPr>
        <w:t xml:space="preserve"> </w:t>
      </w:r>
      <w:r w:rsidRPr="007515C6">
        <w:rPr>
          <w:i/>
          <w:color w:val="4F81BD"/>
          <w:sz w:val="16"/>
          <w:szCs w:val="16"/>
        </w:rPr>
        <w:t>от</w:t>
      </w:r>
      <w:r>
        <w:rPr>
          <w:i/>
          <w:color w:val="4F81BD"/>
          <w:sz w:val="16"/>
          <w:szCs w:val="16"/>
        </w:rPr>
        <w:t xml:space="preserve"> 09.</w:t>
      </w:r>
      <w:r w:rsidRPr="007515C6">
        <w:rPr>
          <w:i/>
          <w:color w:val="4F81BD"/>
          <w:sz w:val="16"/>
          <w:szCs w:val="16"/>
        </w:rPr>
        <w:t>0</w:t>
      </w:r>
      <w:r>
        <w:rPr>
          <w:i/>
          <w:color w:val="4F81BD"/>
          <w:sz w:val="16"/>
          <w:szCs w:val="16"/>
        </w:rPr>
        <w:t>2</w:t>
      </w:r>
      <w:r w:rsidRPr="007515C6">
        <w:rPr>
          <w:i/>
          <w:color w:val="4F81BD"/>
          <w:sz w:val="16"/>
          <w:szCs w:val="16"/>
        </w:rPr>
        <w:t>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242</w:t>
      </w:r>
      <w:r w:rsidR="00066099" w:rsidRPr="009D4E71">
        <w:rPr>
          <w:i/>
          <w:color w:val="4F81BD"/>
          <w:sz w:val="16"/>
          <w:szCs w:val="16"/>
        </w:rPr>
        <w:t xml:space="preserve">, от </w:t>
      </w:r>
      <w:r w:rsidR="009D4E71" w:rsidRPr="009D4E71">
        <w:rPr>
          <w:i/>
          <w:color w:val="4F81BD"/>
          <w:sz w:val="16"/>
          <w:szCs w:val="16"/>
        </w:rPr>
        <w:t>11</w:t>
      </w:r>
      <w:r w:rsidR="00066099" w:rsidRPr="009D4E71">
        <w:rPr>
          <w:i/>
          <w:color w:val="4F81BD"/>
          <w:sz w:val="16"/>
          <w:szCs w:val="16"/>
        </w:rPr>
        <w:t>.03.2022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D4E71" w:rsidRPr="009D4E71">
        <w:rPr>
          <w:i/>
          <w:color w:val="4F81BD"/>
          <w:sz w:val="16"/>
          <w:szCs w:val="16"/>
        </w:rPr>
        <w:t>615</w:t>
      </w:r>
      <w:r w:rsidR="00066099" w:rsidRPr="009D4E71">
        <w:rPr>
          <w:i/>
          <w:color w:val="4F81BD"/>
          <w:sz w:val="16"/>
          <w:szCs w:val="16"/>
        </w:rPr>
        <w:t>)</w:t>
      </w:r>
    </w:p>
    <w:p w:rsidR="00966177" w:rsidRDefault="00966177" w:rsidP="00F22E5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</w:t>
            </w:r>
            <w:r w:rsidRPr="00966177">
              <w:rPr>
                <w:i/>
                <w:color w:val="4F81BD"/>
                <w:sz w:val="16"/>
                <w:szCs w:val="16"/>
              </w:rPr>
              <w:t xml:space="preserve">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DF6903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8D07E4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8D07E4" w:rsidRDefault="003F41C0" w:rsidP="00345846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3F41C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DF6903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8D07E4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8D07E4" w:rsidRDefault="003F41C0" w:rsidP="00345846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3F41C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DF6903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8D07E4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8D07E4" w:rsidRDefault="003F41C0" w:rsidP="00345846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3F41C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DF6903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8D07E4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8D07E4" w:rsidRDefault="003F41C0" w:rsidP="00345846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3F41C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DF6903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8D07E4" w:rsidRDefault="003F41C0" w:rsidP="00345846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8D07E4" w:rsidRDefault="003F41C0" w:rsidP="00345846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F41C0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C0" w:rsidRDefault="003F41C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</w:p>
          <w:p w:rsidR="003F41C0" w:rsidRPr="007515C6" w:rsidRDefault="003F41C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Default="003F41C0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Default="003F41C0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Default="003F41C0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F41C0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C0" w:rsidRPr="007515C6" w:rsidRDefault="003F41C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F41C0" w:rsidRPr="007515C6" w:rsidTr="008D07E4">
        <w:trPr>
          <w:gridAfter w:val="2"/>
          <w:wAfter w:w="5528" w:type="dxa"/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F41C0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C0" w:rsidRPr="007515C6" w:rsidRDefault="003F41C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09.02.2022 № 242)</w:t>
            </w:r>
          </w:p>
        </w:tc>
      </w:tr>
      <w:tr w:rsidR="003F41C0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C0" w:rsidRDefault="003F41C0" w:rsidP="00CD3F1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  <w:p w:rsidR="003F41C0" w:rsidRPr="007515C6" w:rsidRDefault="003F41C0" w:rsidP="00CD3F18">
            <w:pPr>
              <w:ind w:left="-57" w:right="-57"/>
              <w:jc w:val="both"/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27.01.2022 № 124)</w:t>
            </w:r>
          </w:p>
        </w:tc>
      </w:tr>
      <w:tr w:rsidR="003F41C0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F41C0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Default="003F41C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3F41C0" w:rsidRPr="00966177" w:rsidRDefault="003F41C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3F41C0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Default="003F41C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3F41C0" w:rsidRPr="007515C6" w:rsidRDefault="003F41C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18.01.2022 №56)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9D4E7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4E7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  <w:r w:rsidRPr="009D4E71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9D4E71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Pr="009D4E71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 от 11.03.2022 № 615)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F41C0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Default="003F41C0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</w:p>
          <w:p w:rsidR="003F41C0" w:rsidRPr="007515C6" w:rsidRDefault="003F41C0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21.01.2022 №78)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09.02.2021 № 242)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F95BAD" w:rsidRDefault="003F41C0" w:rsidP="00F95BAD">
            <w:pPr>
              <w:ind w:left="-57" w:right="-57"/>
              <w:jc w:val="both"/>
              <w:rPr>
                <w:i/>
                <w:color w:val="4F81BD"/>
                <w:sz w:val="16"/>
                <w:szCs w:val="16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F95BAD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294AEA" w:rsidRDefault="003F41C0" w:rsidP="003F6B29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F41C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1C0" w:rsidRPr="007515C6" w:rsidRDefault="003F41C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C0" w:rsidRPr="007515C6" w:rsidRDefault="003F41C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1F" w:rsidRDefault="00172C1F">
      <w:r>
        <w:separator/>
      </w:r>
    </w:p>
  </w:endnote>
  <w:endnote w:type="continuationSeparator" w:id="0">
    <w:p w:rsidR="00172C1F" w:rsidRDefault="0017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1F" w:rsidRDefault="00172C1F">
      <w:r>
        <w:separator/>
      </w:r>
    </w:p>
  </w:footnote>
  <w:footnote w:type="continuationSeparator" w:id="0">
    <w:p w:rsidR="00172C1F" w:rsidRDefault="0017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C1717B">
        <w:rPr>
          <w:noProof/>
        </w:rPr>
        <w:t>4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6099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792"/>
    <w:rsid w:val="000E42F1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2C1F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4AEA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359A0"/>
    <w:rsid w:val="00345846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1C0"/>
    <w:rsid w:val="003F4EE4"/>
    <w:rsid w:val="003F6B29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3DF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F4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1614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6EC"/>
    <w:rsid w:val="00653FB5"/>
    <w:rsid w:val="00660A99"/>
    <w:rsid w:val="006667EE"/>
    <w:rsid w:val="00672863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C5F04"/>
    <w:rsid w:val="006D047D"/>
    <w:rsid w:val="006D1CF8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2B66"/>
    <w:rsid w:val="00745D42"/>
    <w:rsid w:val="007511BC"/>
    <w:rsid w:val="007515C6"/>
    <w:rsid w:val="00753C01"/>
    <w:rsid w:val="00755E06"/>
    <w:rsid w:val="0076432F"/>
    <w:rsid w:val="007645C7"/>
    <w:rsid w:val="007659FC"/>
    <w:rsid w:val="00767D6A"/>
    <w:rsid w:val="00772A7F"/>
    <w:rsid w:val="00775DD7"/>
    <w:rsid w:val="00776270"/>
    <w:rsid w:val="0077663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5D9C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6177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4E71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7A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1717B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62F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052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2E57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5BAD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28F1-8AAE-4B45-8E33-7BD2AF5F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12287</Words>
  <Characters>70039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82162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2022-07-25T07:39:00Z</dcterms:created>
  <dcterms:modified xsi:type="dcterms:W3CDTF">2022-07-25T07:39:00Z</dcterms:modified>
</cp:coreProperties>
</file>